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CEB76" w14:textId="2794331B" w:rsidR="00151205" w:rsidRPr="003F06FC" w:rsidRDefault="00151205">
      <w:pPr>
        <w:rPr>
          <w:b/>
          <w:bCs/>
          <w:color w:val="000000" w:themeColor="text1"/>
        </w:rPr>
      </w:pPr>
      <w:r w:rsidRPr="003F06FC">
        <w:rPr>
          <w:b/>
          <w:bCs/>
          <w:color w:val="000000" w:themeColor="text1"/>
        </w:rPr>
        <w:t>Final Proposal Review Rubric – Noncredit Microcredentials</w:t>
      </w:r>
    </w:p>
    <w:tbl>
      <w:tblPr>
        <w:tblStyle w:val="GridTable2-Accent5"/>
        <w:tblW w:w="14395" w:type="dxa"/>
        <w:tblLook w:val="04A0" w:firstRow="1" w:lastRow="0" w:firstColumn="1" w:lastColumn="0" w:noHBand="0" w:noVBand="1"/>
      </w:tblPr>
      <w:tblGrid>
        <w:gridCol w:w="1584"/>
        <w:gridCol w:w="2562"/>
        <w:gridCol w:w="2562"/>
        <w:gridCol w:w="2562"/>
        <w:gridCol w:w="2562"/>
        <w:gridCol w:w="2563"/>
      </w:tblGrid>
      <w:tr w:rsidR="00151205" w:rsidRPr="00151205" w14:paraId="5710B712" w14:textId="77777777" w:rsidTr="003F06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bottom w:val="single" w:sz="2" w:space="0" w:color="A090C4"/>
            </w:tcBorders>
          </w:tcPr>
          <w:p w14:paraId="757E1B29" w14:textId="77777777" w:rsidR="00151205" w:rsidRPr="00151205" w:rsidRDefault="00151205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01E4F0CE" w14:textId="28EA27E2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1 — Unsatisfactory</w:t>
            </w: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46F6BA85" w14:textId="169C1477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2 — Needs Improvement</w:t>
            </w: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025E5631" w14:textId="750D7327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3 — Satisfactory</w:t>
            </w:r>
          </w:p>
        </w:tc>
        <w:tc>
          <w:tcPr>
            <w:tcW w:w="2562" w:type="dxa"/>
            <w:tcBorders>
              <w:bottom w:val="single" w:sz="2" w:space="0" w:color="A090C4"/>
            </w:tcBorders>
          </w:tcPr>
          <w:p w14:paraId="781D400F" w14:textId="5EFB1E91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4 — Good</w:t>
            </w:r>
          </w:p>
        </w:tc>
        <w:tc>
          <w:tcPr>
            <w:tcW w:w="2563" w:type="dxa"/>
            <w:tcBorders>
              <w:bottom w:val="single" w:sz="2" w:space="0" w:color="A090C4"/>
            </w:tcBorders>
          </w:tcPr>
          <w:p w14:paraId="152F6A61" w14:textId="128D5CF4" w:rsidR="00151205" w:rsidRPr="009B5D4D" w:rsidRDefault="001512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9B5D4D">
              <w:rPr>
                <w:sz w:val="18"/>
                <w:szCs w:val="18"/>
              </w:rPr>
              <w:t>5 — Excellent</w:t>
            </w:r>
          </w:p>
        </w:tc>
      </w:tr>
      <w:tr w:rsidR="00151205" w:rsidRPr="00151205" w14:paraId="720405AB" w14:textId="77777777" w:rsidTr="00A1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74C1158" w14:textId="241E9C5D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Curricular Innovation and Academic Excellence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7C4234B5" w14:textId="35AFDC72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Does not establish a credible educational design, relevant learning outcomes, assessment approach, or feasible development plan.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12ECF87F" w14:textId="1F3EF204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Curriculum, competencies, assessment, delivery choices, or innovation remain insufficiently developed; important feasibility concerns persist.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805D39D" w14:textId="209D5B21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Presents a sound educational concept with generally appropriate competencies and delivery; some assessment, access, innovation, or development details need further attention.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293FFB6" w14:textId="302CB793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Presents a strong, thoughtful curriculum with relevant competencies, appropriate assessments, and well-supported instructional and delivery choices; remaining refinements are minor.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2C59C26" w14:textId="4CF04E69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 xml:space="preserve">Presents a highly coherent, distinctive, learner-centered program with measurable </w:t>
            </w:r>
            <w:r>
              <w:rPr>
                <w:sz w:val="18"/>
                <w:szCs w:val="18"/>
              </w:rPr>
              <w:t>skills</w:t>
            </w:r>
            <w:r w:rsidRPr="00151205">
              <w:rPr>
                <w:sz w:val="18"/>
                <w:szCs w:val="18"/>
              </w:rPr>
              <w:t>, convincing assessment strategies, and a well-justified delivery model.</w:t>
            </w:r>
          </w:p>
        </w:tc>
      </w:tr>
      <w:tr w:rsidR="00151205" w:rsidRPr="00151205" w14:paraId="348799E9" w14:textId="77777777" w:rsidTr="00A1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1F5A53E0" w14:textId="3905B869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Alignment with K-State Strategic Priorities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75073CB" w14:textId="735BCBC2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Does not demonstrate meaningful alignment with the required K-State strategic priorities.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14770E29" w14:textId="7EFD76C2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Offers only partial or vague alignment; substantive links to one or both plans are inadequately supported.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36670573" w14:textId="19873D91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Identifies reasonable alignment with both plans, although benefits or implementation connections are somewhat general.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2948DC5A" w14:textId="20750E3A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Demonstrates clear alignment with both plans and explains plausible, concrete contributions to strategic priorities.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B3A3EC9" w14:textId="2B15082C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Demonstrates a compelling and specific alignment with both plans, with clear activities and outcomes that substantially advance identified priorities.</w:t>
            </w:r>
          </w:p>
        </w:tc>
      </w:tr>
      <w:tr w:rsidR="00151205" w:rsidRPr="00151205" w14:paraId="7C4E52B1" w14:textId="77777777" w:rsidTr="00A1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512840E8" w14:textId="23F17C1E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Anticipated Return on Investment for K-State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104EE624" w14:textId="4F1A0FBB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Does not demonstrate a realistic or meaningful return relative to the proposed investment.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DDFAF19" w14:textId="3A14A73B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Benefits, projected reach, or investment assumptions are vague or weakly supported; value is uncertain.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494D1884" w14:textId="0F28AC8D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Describes plausible value and reasonable use of funding, but assumptions or measurable outcomes require development.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DB24FE7" w14:textId="21C822BB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Demonstrates strong potential return and well-supported assumptions about learner reach, benefits, and investment.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CB0237E" w14:textId="1D84A9B7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 xml:space="preserve">Offers a compelling, evidence-informed case for significant institutional value with credible enrollment/revenue or mission-impact assumptions, clear measures, and </w:t>
            </w:r>
            <w:proofErr w:type="gramStart"/>
            <w:r w:rsidRPr="00151205">
              <w:rPr>
                <w:sz w:val="18"/>
                <w:szCs w:val="18"/>
              </w:rPr>
              <w:t>an efficient</w:t>
            </w:r>
            <w:proofErr w:type="gramEnd"/>
            <w:r w:rsidRPr="00151205">
              <w:rPr>
                <w:sz w:val="18"/>
                <w:szCs w:val="18"/>
              </w:rPr>
              <w:t xml:space="preserve"> use of AIF funding.</w:t>
            </w:r>
          </w:p>
        </w:tc>
      </w:tr>
      <w:tr w:rsidR="00151205" w:rsidRPr="00151205" w14:paraId="53C6A630" w14:textId="77777777" w:rsidTr="00A1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181C8932" w14:textId="68F4B190" w:rsidR="00151205" w:rsidRDefault="00151205">
            <w:pPr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Learner, Workforce, or Societal Need</w:t>
            </w:r>
          </w:p>
          <w:p w14:paraId="63C739CC" w14:textId="0A15A2DE" w:rsidR="00151205" w:rsidRPr="00151205" w:rsidRDefault="00151205">
            <w:pPr>
              <w:rPr>
                <w:i/>
                <w:iCs/>
                <w:sz w:val="18"/>
                <w:szCs w:val="18"/>
              </w:rPr>
            </w:pPr>
            <w:r w:rsidRPr="00151205">
              <w:rPr>
                <w:i/>
                <w:iCs/>
                <w:sz w:val="18"/>
                <w:szCs w:val="18"/>
              </w:rPr>
              <w:t>Weight: 2× (Double-weighted in final scoring)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D013DB8" w14:textId="302B83B7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Does not establish a convincing learner, workforce, or societal need; evidence is absent, substantially unsupported, or not meaningfully connected to the credential.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63A9AA49" w14:textId="28D73BCA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Identifies a possible need, but evidence is limited, inconsistently interpreted, or poorly connected to the credential; important demand questions remain unanswered.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7EF6A8D4" w14:textId="4BD916CB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Identifies a reasonable need with supporting market research or other relevant evidence. The interpretation or connection between findings, learner audience, and proposed program could be stronger.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57B7C5F3" w14:textId="59EBF253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Establishes a clear and important need, supported by relevant market research and other appropriate evidence, with a strong connection to the proposed credential and only minor gaps.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4031DBB6" w14:textId="71EB5B0B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Demonstrates a compelling, research-supported need connecting learners, workforce or societal demand, and the proposed microcredential. Addresses limitations or conflicting evidence thoughtfully.</w:t>
            </w:r>
          </w:p>
        </w:tc>
      </w:tr>
      <w:tr w:rsidR="00151205" w:rsidRPr="00151205" w14:paraId="72901A7F" w14:textId="77777777" w:rsidTr="00A1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06E26DD0" w14:textId="781E6F99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External Partner Contribution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79B6708" w14:textId="6D28EB8E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Provides no credible partner contribution or meaningful plan to secure relevant engagement.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5FCC66A9" w14:textId="23FF0F7C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Partner engagement or proposed contributions are vague, weakly supported, or unlikely to provide meaningful benefit.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3F8B498C" w14:textId="1FB9A24A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Identifies suitable partners and reasonable expected contributions, but some commitments, roles, or recruitment impacts remain developing.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5D9145C4" w14:textId="669B0B00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Identifies engaged, relevant partners with clear and meaningful contributions and credible plans for continued collaboration.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  <w:shd w:val="clear" w:color="auto" w:fill="EDE8F5"/>
          </w:tcPr>
          <w:p w14:paraId="292E5C1A" w14:textId="2C737150" w:rsidR="00151205" w:rsidRPr="00151205" w:rsidRDefault="00151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Presents strong, well-documented partner engagement with specific, substantial contributions integral to curriculum relevance, learner recruitment or pipeline, implementation, and ongoing success.</w:t>
            </w:r>
          </w:p>
        </w:tc>
      </w:tr>
      <w:tr w:rsidR="00151205" w:rsidRPr="00151205" w14:paraId="028A9D5E" w14:textId="77777777" w:rsidTr="00A1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tcBorders>
              <w:top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26E1A387" w14:textId="4D1A9CDC" w:rsidR="00151205" w:rsidRPr="00151205" w:rsidRDefault="00151205">
            <w:pPr>
              <w:rPr>
                <w:b w:val="0"/>
                <w:bCs w:val="0"/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Long-Term Sustainability</w:t>
            </w:r>
          </w:p>
          <w:p w14:paraId="16BA5D26" w14:textId="4E8E8895" w:rsidR="00151205" w:rsidRPr="00151205" w:rsidRDefault="00151205">
            <w:pPr>
              <w:rPr>
                <w:sz w:val="18"/>
                <w:szCs w:val="18"/>
              </w:rPr>
            </w:pPr>
            <w:r w:rsidRPr="00151205">
              <w:rPr>
                <w:i/>
                <w:iCs/>
                <w:sz w:val="18"/>
                <w:szCs w:val="18"/>
              </w:rPr>
              <w:t xml:space="preserve">Weight: </w:t>
            </w:r>
            <w:r>
              <w:rPr>
                <w:i/>
                <w:iCs/>
                <w:sz w:val="18"/>
                <w:szCs w:val="18"/>
              </w:rPr>
              <w:t>1.5</w:t>
            </w:r>
            <w:r w:rsidRPr="00151205">
              <w:rPr>
                <w:i/>
                <w:iCs/>
                <w:sz w:val="18"/>
                <w:szCs w:val="18"/>
              </w:rPr>
              <w:t>× (</w:t>
            </w:r>
            <w:r>
              <w:rPr>
                <w:i/>
                <w:iCs/>
                <w:sz w:val="18"/>
                <w:szCs w:val="18"/>
              </w:rPr>
              <w:t>W</w:t>
            </w:r>
            <w:r w:rsidRPr="00151205">
              <w:rPr>
                <w:i/>
                <w:iCs/>
                <w:sz w:val="18"/>
                <w:szCs w:val="18"/>
              </w:rPr>
              <w:t xml:space="preserve">eighted </w:t>
            </w:r>
            <w:r>
              <w:rPr>
                <w:i/>
                <w:iCs/>
                <w:sz w:val="18"/>
                <w:szCs w:val="18"/>
              </w:rPr>
              <w:t>at 1.5 times the assigned score in</w:t>
            </w:r>
            <w:r w:rsidRPr="00151205">
              <w:rPr>
                <w:i/>
                <w:iCs/>
                <w:sz w:val="18"/>
                <w:szCs w:val="18"/>
              </w:rPr>
              <w:t xml:space="preserve"> final scoring)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06942E6F" w14:textId="7603D26F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Provides little or no realistic plan to sustain the program or deliver a registration-ready microcredential within one year.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7DC61191" w14:textId="34037CB2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Offers general ideas for sustainability or implementation without sufficient evidence, resources, ownership, or confidence in the one-year expectation.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329CDF30" w14:textId="46D60DDA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Presents a reasonable sustainability and implementation path, but some resource assumptions, milestones, or responsibilities need development.</w:t>
            </w:r>
          </w:p>
        </w:tc>
        <w:tc>
          <w:tcPr>
            <w:tcW w:w="2562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472B037D" w14:textId="068E6A19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Presents a well-developed plan addressing ongoing resources, delivery responsibilities, recruitment, and a feasible one-year implementation schedule.</w:t>
            </w:r>
          </w:p>
        </w:tc>
        <w:tc>
          <w:tcPr>
            <w:tcW w:w="2563" w:type="dxa"/>
            <w:tcBorders>
              <w:top w:val="single" w:sz="2" w:space="0" w:color="A090C4"/>
              <w:left w:val="single" w:sz="2" w:space="0" w:color="A090C4"/>
              <w:bottom w:val="single" w:sz="2" w:space="0" w:color="A090C4"/>
              <w:right w:val="single" w:sz="2" w:space="0" w:color="A090C4"/>
            </w:tcBorders>
          </w:tcPr>
          <w:p w14:paraId="58319E16" w14:textId="12835E4C" w:rsidR="00151205" w:rsidRPr="00151205" w:rsidRDefault="00151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51205">
              <w:rPr>
                <w:sz w:val="18"/>
                <w:szCs w:val="18"/>
              </w:rPr>
              <w:t>Presents an exceptionally credible financial and operational sustainability plan, clear ownership and risk management, and a detailed, feasible path to registration availability within one year.</w:t>
            </w:r>
          </w:p>
        </w:tc>
      </w:tr>
    </w:tbl>
    <w:p w14:paraId="2DEC2518" w14:textId="77777777" w:rsidR="0010294B" w:rsidRPr="00151205" w:rsidRDefault="0010294B">
      <w:pPr>
        <w:rPr>
          <w:sz w:val="18"/>
          <w:szCs w:val="18"/>
        </w:rPr>
      </w:pPr>
    </w:p>
    <w:sectPr w:rsidR="0010294B" w:rsidRPr="00151205" w:rsidSect="0015120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05"/>
    <w:rsid w:val="0010294B"/>
    <w:rsid w:val="00151205"/>
    <w:rsid w:val="00231A4F"/>
    <w:rsid w:val="003E415D"/>
    <w:rsid w:val="003F06FC"/>
    <w:rsid w:val="00415FA2"/>
    <w:rsid w:val="009B5D4D"/>
    <w:rsid w:val="00A1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C193"/>
  <w15:chartTrackingRefBased/>
  <w15:docId w15:val="{295D3424-C1E9-478E-BFCB-2A6DA385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2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2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2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2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2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2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2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2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2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2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2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2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2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5">
    <w:name w:val="Grid Table 3 Accent 5"/>
    <w:basedOn w:val="TableNormal"/>
    <w:uiPriority w:val="48"/>
    <w:rsid w:val="003F06FC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3F06FC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5">
    <w:name w:val="Grid Table 2 Accent 5"/>
    <w:basedOn w:val="TableNormal"/>
    <w:uiPriority w:val="47"/>
    <w:rsid w:val="003F06FC"/>
    <w:pPr>
      <w:spacing w:after="0" w:line="240" w:lineRule="auto"/>
    </w:pPr>
    <w:tblPr>
      <w:tblStyleRowBandSize w:val="1"/>
      <w:tblStyleColBandSize w:val="1"/>
      <w:tblBorders>
        <w:top w:val="single" w:sz="2" w:space="0" w:color="F2CEED" w:themeColor="accent5" w:themeTint="33"/>
        <w:bottom w:val="single" w:sz="2" w:space="0" w:color="F2CEED" w:themeColor="accent5" w:themeTint="33"/>
        <w:insideH w:val="single" w:sz="2" w:space="0" w:color="F2CEED" w:themeColor="accent5" w:themeTint="33"/>
        <w:insideV w:val="single" w:sz="2" w:space="0" w:color="F2CEED" w:themeColor="accent5" w:themeTint="3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Maseberg-Tomlinson</dc:creator>
  <cp:keywords/>
  <dc:description/>
  <cp:lastModifiedBy>Jo Maseberg-Tomlinson</cp:lastModifiedBy>
  <cp:revision>4</cp:revision>
  <dcterms:created xsi:type="dcterms:W3CDTF">2026-10-29T15:07:00Z</dcterms:created>
  <dcterms:modified xsi:type="dcterms:W3CDTF">2026-10-29T16:43:00Z</dcterms:modified>
</cp:coreProperties>
</file>