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9AEB" w14:textId="19816E80" w:rsidR="00644541" w:rsidRPr="00634415" w:rsidRDefault="00634415">
      <w:r w:rsidRPr="00634415">
        <w:t xml:space="preserve">SLO Assessment Report | K-State First </w:t>
      </w:r>
    </w:p>
    <w:p w14:paraId="1578E17F" w14:textId="4C4AF122" w:rsidR="00634415" w:rsidRPr="00634415" w:rsidRDefault="00634415">
      <w:r w:rsidRPr="00634415">
        <w:t>Fall 2021</w:t>
      </w:r>
    </w:p>
    <w:p w14:paraId="72117080" w14:textId="2215E5D3" w:rsidR="00634415" w:rsidRPr="00634415" w:rsidRDefault="00634415"/>
    <w:p w14:paraId="3D1E84ED" w14:textId="4EA2E50F" w:rsidR="00634415" w:rsidRPr="00634415" w:rsidRDefault="00634415">
      <w:pPr>
        <w:rPr>
          <w:b/>
          <w:bCs/>
        </w:rPr>
      </w:pPr>
      <w:r w:rsidRPr="00634415">
        <w:rPr>
          <w:b/>
          <w:bCs/>
        </w:rPr>
        <w:t>Summary</w:t>
      </w:r>
      <w:r w:rsidR="001D7FBA">
        <w:rPr>
          <w:b/>
          <w:bCs/>
        </w:rPr>
        <w:t xml:space="preserve"> Analysis</w:t>
      </w:r>
    </w:p>
    <w:p w14:paraId="269F52AF" w14:textId="4933D7B8" w:rsidR="00634415" w:rsidRPr="00634415" w:rsidRDefault="00634415"/>
    <w:p w14:paraId="2133376A" w14:textId="77777777" w:rsidR="00634415" w:rsidRPr="00634415" w:rsidRDefault="00634415" w:rsidP="00634415">
      <w:pPr>
        <w:pStyle w:val="NormalWeb"/>
        <w:spacing w:before="0" w:beforeAutospacing="0" w:after="0" w:afterAutospacing="0" w:line="276" w:lineRule="auto"/>
        <w:rPr>
          <w:rFonts w:ascii="Calibri" w:hAnsi="Calibri" w:cs="Calibri"/>
          <w:color w:val="000000" w:themeColor="text1"/>
        </w:rPr>
      </w:pPr>
      <w:r w:rsidRPr="00634415">
        <w:rPr>
          <w:rFonts w:ascii="Calibri" w:hAnsi="Calibri" w:cs="Calibri"/>
          <w:color w:val="000000" w:themeColor="text1"/>
        </w:rPr>
        <w:t xml:space="preserve">We substantially increased faculty participation in the learning outcomes assessment </w:t>
      </w:r>
      <w:r w:rsidRPr="00634415">
        <w:rPr>
          <w:rFonts w:ascii="Calibri" w:hAnsi="Calibri" w:cs="Calibri"/>
          <w:i/>
          <w:iCs/>
          <w:color w:val="000000" w:themeColor="text1"/>
        </w:rPr>
        <w:t>process</w:t>
      </w:r>
      <w:r w:rsidRPr="00634415">
        <w:rPr>
          <w:rFonts w:ascii="Calibri" w:hAnsi="Calibri" w:cs="Calibri"/>
          <w:color w:val="000000" w:themeColor="text1"/>
        </w:rPr>
        <w:t xml:space="preserve"> to nearly full participation, with only a few faculty members failing to fully complete their assessments.</w:t>
      </w:r>
    </w:p>
    <w:p w14:paraId="44E18F43" w14:textId="77777777" w:rsidR="00634415" w:rsidRPr="00634415" w:rsidRDefault="00634415" w:rsidP="00634415">
      <w:pPr>
        <w:pStyle w:val="NormalWeb"/>
        <w:spacing w:before="0" w:beforeAutospacing="0" w:after="0" w:afterAutospacing="0" w:line="276" w:lineRule="auto"/>
        <w:rPr>
          <w:rFonts w:ascii="Calibri" w:hAnsi="Calibri" w:cs="Calibri"/>
          <w:color w:val="000000" w:themeColor="text1"/>
        </w:rPr>
      </w:pPr>
    </w:p>
    <w:p w14:paraId="1C41C832" w14:textId="77777777" w:rsidR="00634415" w:rsidRPr="00634415" w:rsidRDefault="00634415" w:rsidP="00634415">
      <w:pPr>
        <w:pStyle w:val="NormalWeb"/>
        <w:spacing w:before="0" w:beforeAutospacing="0" w:after="0" w:afterAutospacing="0" w:line="276" w:lineRule="auto"/>
        <w:rPr>
          <w:rFonts w:ascii="Calibri" w:hAnsi="Calibri" w:cs="Calibri"/>
          <w:color w:val="000000" w:themeColor="text1"/>
        </w:rPr>
      </w:pPr>
      <w:r w:rsidRPr="00634415">
        <w:rPr>
          <w:rFonts w:ascii="Calibri" w:hAnsi="Calibri" w:cs="Calibri"/>
          <w:color w:val="000000" w:themeColor="text1"/>
        </w:rPr>
        <w:t xml:space="preserve">The new assessment process launched in 2019 shows that the program has been effective in helping students learn what we say that should learn. </w:t>
      </w:r>
    </w:p>
    <w:p w14:paraId="0435D87C" w14:textId="77777777" w:rsidR="00634415" w:rsidRPr="00634415" w:rsidRDefault="00634415" w:rsidP="00634415">
      <w:pPr>
        <w:pStyle w:val="NormalWeb"/>
        <w:spacing w:before="0" w:beforeAutospacing="0" w:after="0" w:afterAutospacing="0" w:line="276" w:lineRule="auto"/>
        <w:rPr>
          <w:rFonts w:ascii="Calibri" w:hAnsi="Calibri" w:cs="Calibri"/>
          <w:color w:val="000000" w:themeColor="text1"/>
        </w:rPr>
      </w:pPr>
    </w:p>
    <w:p w14:paraId="0BD1EE88" w14:textId="77777777" w:rsidR="00634415" w:rsidRPr="00634415" w:rsidRDefault="00634415" w:rsidP="00634415">
      <w:pPr>
        <w:pStyle w:val="NormalWeb"/>
        <w:spacing w:before="0" w:beforeAutospacing="0" w:after="0" w:afterAutospacing="0" w:line="276" w:lineRule="auto"/>
        <w:rPr>
          <w:rFonts w:ascii="Calibri" w:hAnsi="Calibri" w:cs="Calibri"/>
          <w:color w:val="000000" w:themeColor="text1"/>
        </w:rPr>
      </w:pPr>
      <w:r w:rsidRPr="00634415">
        <w:rPr>
          <w:rFonts w:ascii="Calibri" w:hAnsi="Calibri" w:cs="Calibri"/>
          <w:color w:val="000000" w:themeColor="text1"/>
        </w:rPr>
        <w:t xml:space="preserve">In our SLO assessment, every student is scored on detailed rubric for each of four core learning outcomes: application of learning, community building, communication skills, and critical thinking. The rubric uses a scale from 1 to 5. A score of 1 represents a failure to achieve the learning outcome, whereas a 2 indicates partial achievement. Students who are proficient or meeting expectations in terms of the specific learning outcome are scored with a 3. At the higher end, a 4 represents some distinction or an exceeding of expectations, whereas a 5 indicates clear mastery. The program goal is to have all students in the 3 to 5 range, and it’s clearly understood that a 5 denotes a stretch goal, one that allows the process to record student work or student learning that is exemplary. </w:t>
      </w:r>
    </w:p>
    <w:p w14:paraId="352DB7DA" w14:textId="77777777" w:rsidR="00634415" w:rsidRPr="00634415" w:rsidRDefault="00634415" w:rsidP="00634415">
      <w:pPr>
        <w:pStyle w:val="NormalWeb"/>
        <w:spacing w:before="0" w:beforeAutospacing="0" w:after="0" w:afterAutospacing="0" w:line="276" w:lineRule="auto"/>
        <w:rPr>
          <w:rFonts w:ascii="Calibri" w:hAnsi="Calibri" w:cs="Calibri"/>
          <w:color w:val="000000" w:themeColor="text1"/>
        </w:rPr>
      </w:pPr>
    </w:p>
    <w:p w14:paraId="6BB2BBDB" w14:textId="0FB8875D" w:rsidR="00634415" w:rsidRPr="00634415" w:rsidRDefault="00634415" w:rsidP="00634415">
      <w:pPr>
        <w:pStyle w:val="NormalWeb"/>
        <w:spacing w:before="0" w:beforeAutospacing="0" w:after="0" w:afterAutospacing="0" w:line="276" w:lineRule="auto"/>
        <w:rPr>
          <w:rFonts w:ascii="Calibri" w:hAnsi="Calibri" w:cs="Calibri"/>
          <w:color w:val="000000" w:themeColor="text1"/>
        </w:rPr>
      </w:pPr>
      <w:r w:rsidRPr="00634415">
        <w:rPr>
          <w:rFonts w:ascii="Calibri" w:hAnsi="Calibri" w:cs="Calibri"/>
          <w:color w:val="000000" w:themeColor="text1"/>
        </w:rPr>
        <w:t>In 2019 and 2020, about 90% of K-State First students performed in the 3 to 5 range: application of learning (90%), community building (91%), communication skills (90%), and critical thinking (92%).</w:t>
      </w:r>
    </w:p>
    <w:p w14:paraId="6E0837A0" w14:textId="77777777" w:rsidR="00634415" w:rsidRPr="00634415" w:rsidRDefault="00634415" w:rsidP="00634415">
      <w:pPr>
        <w:pStyle w:val="NormalWeb"/>
        <w:spacing w:before="0" w:beforeAutospacing="0" w:after="0" w:afterAutospacing="0" w:line="276" w:lineRule="auto"/>
        <w:rPr>
          <w:rFonts w:ascii="Calibri" w:hAnsi="Calibri" w:cs="Calibri"/>
          <w:color w:val="000000" w:themeColor="text1"/>
        </w:rPr>
      </w:pPr>
    </w:p>
    <w:p w14:paraId="42DDB6F2" w14:textId="7B9714DC" w:rsidR="00634415" w:rsidRPr="00634415" w:rsidRDefault="00634415" w:rsidP="00634415">
      <w:pPr>
        <w:pStyle w:val="NormalWeb"/>
        <w:spacing w:before="0" w:beforeAutospacing="0" w:after="0" w:afterAutospacing="0" w:line="276" w:lineRule="auto"/>
        <w:rPr>
          <w:rFonts w:ascii="Calibri" w:hAnsi="Calibri" w:cs="Calibri"/>
          <w:color w:val="000000" w:themeColor="text1"/>
        </w:rPr>
      </w:pPr>
      <w:r w:rsidRPr="00634415">
        <w:rPr>
          <w:rFonts w:ascii="Calibri" w:hAnsi="Calibri" w:cs="Calibri"/>
          <w:color w:val="000000" w:themeColor="text1"/>
        </w:rPr>
        <w:t xml:space="preserve">We saw </w:t>
      </w:r>
      <w:proofErr w:type="gramStart"/>
      <w:r w:rsidRPr="00634415">
        <w:rPr>
          <w:rFonts w:ascii="Calibri" w:hAnsi="Calibri" w:cs="Calibri"/>
          <w:color w:val="000000" w:themeColor="text1"/>
        </w:rPr>
        <w:t>all of</w:t>
      </w:r>
      <w:proofErr w:type="gramEnd"/>
      <w:r w:rsidRPr="00634415">
        <w:rPr>
          <w:rFonts w:ascii="Calibri" w:hAnsi="Calibri" w:cs="Calibri"/>
          <w:color w:val="000000" w:themeColor="text1"/>
        </w:rPr>
        <w:t xml:space="preserve"> these numbers move up in 2021: application of learning (95%), community building (94%), communication skills (94%), and critical thinking in the CAT Communities (94%) and critical thinking the FYS’s (92%). I would have predicted that increased participation in the SLO assessment process and the continuing pandemic would have depressed measurable student learning, but the trend was toward improvements in all cases except the critical thinking outcome for the FYS classes, where we saw no change from 2019 and 2020 to 2021.</w:t>
      </w:r>
    </w:p>
    <w:p w14:paraId="44D97691" w14:textId="77777777" w:rsidR="00634415" w:rsidRPr="00634415" w:rsidRDefault="00634415" w:rsidP="00634415">
      <w:pPr>
        <w:spacing w:line="276" w:lineRule="auto"/>
        <w:jc w:val="both"/>
        <w:rPr>
          <w:rFonts w:ascii="Calibri" w:eastAsia="Times New Roman" w:hAnsi="Calibri" w:cs="Calibri"/>
          <w:i/>
          <w:iCs/>
        </w:rPr>
      </w:pPr>
    </w:p>
    <w:p w14:paraId="3FB5AD4E" w14:textId="1EF8AB89" w:rsidR="00634415" w:rsidRPr="00634415" w:rsidRDefault="00634415" w:rsidP="00634415">
      <w:pPr>
        <w:spacing w:line="276" w:lineRule="auto"/>
        <w:jc w:val="both"/>
        <w:rPr>
          <w:rFonts w:ascii="Calibri" w:eastAsia="Times New Roman" w:hAnsi="Calibri" w:cs="Calibri"/>
          <w:i/>
          <w:iCs/>
        </w:rPr>
      </w:pPr>
      <w:r w:rsidRPr="00634415">
        <w:rPr>
          <w:rFonts w:ascii="Calibri" w:eastAsia="Times New Roman" w:hAnsi="Calibri" w:cs="Calibri"/>
          <w:i/>
          <w:iCs/>
        </w:rPr>
        <w:t>Percentage of Students Meeting or Exceeding Learning Outcome Expectations, 2019 &amp; 2020 to 2021</w:t>
      </w:r>
    </w:p>
    <w:p w14:paraId="37C64CD9" w14:textId="77777777" w:rsidR="00634415" w:rsidRPr="00634415" w:rsidRDefault="00634415" w:rsidP="00634415">
      <w:pPr>
        <w:spacing w:line="276" w:lineRule="auto"/>
        <w:jc w:val="both"/>
        <w:rPr>
          <w:rFonts w:ascii="Calibri" w:eastAsia="Times New Roman" w:hAnsi="Calibri" w:cs="Calibri"/>
          <w:b/>
          <w:bCs/>
        </w:rPr>
      </w:pPr>
    </w:p>
    <w:tbl>
      <w:tblPr>
        <w:tblStyle w:val="TableGrid"/>
        <w:tblW w:w="0" w:type="auto"/>
        <w:jc w:val="center"/>
        <w:tblLayout w:type="fixed"/>
        <w:tblLook w:val="04A0" w:firstRow="1" w:lastRow="0" w:firstColumn="1" w:lastColumn="0" w:noHBand="0" w:noVBand="1"/>
      </w:tblPr>
      <w:tblGrid>
        <w:gridCol w:w="2907"/>
        <w:gridCol w:w="1763"/>
        <w:gridCol w:w="1710"/>
      </w:tblGrid>
      <w:tr w:rsidR="00634415" w:rsidRPr="00634415" w14:paraId="7817AD79" w14:textId="77777777" w:rsidTr="00634415">
        <w:trPr>
          <w:trHeight w:val="241"/>
          <w:jc w:val="center"/>
        </w:trPr>
        <w:tc>
          <w:tcPr>
            <w:tcW w:w="2907" w:type="dxa"/>
            <w:tcBorders>
              <w:top w:val="single" w:sz="8" w:space="0" w:color="auto"/>
              <w:left w:val="single" w:sz="8" w:space="0" w:color="auto"/>
              <w:bottom w:val="single" w:sz="8" w:space="0" w:color="auto"/>
              <w:right w:val="single" w:sz="8" w:space="0" w:color="auto"/>
            </w:tcBorders>
          </w:tcPr>
          <w:p w14:paraId="4D7EED8F" w14:textId="77777777" w:rsidR="00634415" w:rsidRPr="00634415" w:rsidRDefault="00634415" w:rsidP="00634415">
            <w:pPr>
              <w:spacing w:line="276" w:lineRule="auto"/>
              <w:rPr>
                <w:rFonts w:eastAsia="Times New Roman"/>
                <w:b/>
                <w:bCs/>
                <w:sz w:val="24"/>
                <w:szCs w:val="24"/>
              </w:rPr>
            </w:pPr>
            <w:r w:rsidRPr="00634415">
              <w:rPr>
                <w:rFonts w:eastAsia="Times New Roman"/>
                <w:b/>
                <w:bCs/>
                <w:sz w:val="24"/>
                <w:szCs w:val="24"/>
              </w:rPr>
              <w:t>Learning Outcome</w:t>
            </w:r>
          </w:p>
        </w:tc>
        <w:tc>
          <w:tcPr>
            <w:tcW w:w="1763" w:type="dxa"/>
            <w:tcBorders>
              <w:top w:val="single" w:sz="8" w:space="0" w:color="auto"/>
              <w:left w:val="single" w:sz="8" w:space="0" w:color="auto"/>
              <w:bottom w:val="single" w:sz="8" w:space="0" w:color="auto"/>
              <w:right w:val="single" w:sz="8" w:space="0" w:color="auto"/>
            </w:tcBorders>
          </w:tcPr>
          <w:p w14:paraId="196C60CA" w14:textId="77777777" w:rsidR="00634415" w:rsidRPr="00634415" w:rsidRDefault="00634415" w:rsidP="00634415">
            <w:pPr>
              <w:spacing w:line="276" w:lineRule="auto"/>
              <w:rPr>
                <w:rFonts w:eastAsia="Times New Roman"/>
                <w:b/>
                <w:bCs/>
                <w:sz w:val="24"/>
                <w:szCs w:val="24"/>
              </w:rPr>
            </w:pPr>
            <w:r w:rsidRPr="00634415">
              <w:rPr>
                <w:rFonts w:eastAsia="Times New Roman"/>
                <w:b/>
                <w:bCs/>
                <w:sz w:val="24"/>
                <w:szCs w:val="24"/>
              </w:rPr>
              <w:t>2019 and 2020</w:t>
            </w:r>
          </w:p>
        </w:tc>
        <w:tc>
          <w:tcPr>
            <w:tcW w:w="1710" w:type="dxa"/>
            <w:tcBorders>
              <w:top w:val="single" w:sz="8" w:space="0" w:color="auto"/>
              <w:left w:val="single" w:sz="8" w:space="0" w:color="auto"/>
              <w:bottom w:val="single" w:sz="8" w:space="0" w:color="auto"/>
              <w:right w:val="single" w:sz="8" w:space="0" w:color="auto"/>
            </w:tcBorders>
          </w:tcPr>
          <w:p w14:paraId="6DC9F70D" w14:textId="77777777" w:rsidR="00634415" w:rsidRPr="00634415" w:rsidRDefault="00634415" w:rsidP="00634415">
            <w:pPr>
              <w:spacing w:line="276" w:lineRule="auto"/>
              <w:rPr>
                <w:rFonts w:eastAsia="Times New Roman"/>
                <w:b/>
                <w:bCs/>
                <w:sz w:val="24"/>
                <w:szCs w:val="24"/>
              </w:rPr>
            </w:pPr>
            <w:r w:rsidRPr="00634415">
              <w:rPr>
                <w:rFonts w:eastAsia="Times New Roman"/>
                <w:b/>
                <w:bCs/>
                <w:sz w:val="24"/>
                <w:szCs w:val="24"/>
              </w:rPr>
              <w:t>2021</w:t>
            </w:r>
          </w:p>
        </w:tc>
      </w:tr>
      <w:tr w:rsidR="00634415" w:rsidRPr="00634415" w14:paraId="68915610" w14:textId="77777777" w:rsidTr="00634415">
        <w:trPr>
          <w:trHeight w:val="261"/>
          <w:jc w:val="center"/>
        </w:trPr>
        <w:tc>
          <w:tcPr>
            <w:tcW w:w="2907" w:type="dxa"/>
            <w:tcBorders>
              <w:top w:val="single" w:sz="8" w:space="0" w:color="auto"/>
              <w:left w:val="single" w:sz="8" w:space="0" w:color="auto"/>
              <w:bottom w:val="single" w:sz="8" w:space="0" w:color="auto"/>
              <w:right w:val="single" w:sz="8" w:space="0" w:color="auto"/>
            </w:tcBorders>
          </w:tcPr>
          <w:p w14:paraId="3F66EF9F"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Application of Learning</w:t>
            </w:r>
          </w:p>
        </w:tc>
        <w:tc>
          <w:tcPr>
            <w:tcW w:w="1763" w:type="dxa"/>
            <w:tcBorders>
              <w:top w:val="single" w:sz="8" w:space="0" w:color="auto"/>
              <w:left w:val="single" w:sz="8" w:space="0" w:color="auto"/>
              <w:bottom w:val="single" w:sz="8" w:space="0" w:color="auto"/>
              <w:right w:val="single" w:sz="8" w:space="0" w:color="auto"/>
            </w:tcBorders>
          </w:tcPr>
          <w:p w14:paraId="6B03798E"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90%</w:t>
            </w:r>
          </w:p>
        </w:tc>
        <w:tc>
          <w:tcPr>
            <w:tcW w:w="1710" w:type="dxa"/>
            <w:tcBorders>
              <w:top w:val="single" w:sz="8" w:space="0" w:color="auto"/>
              <w:left w:val="single" w:sz="8" w:space="0" w:color="auto"/>
              <w:bottom w:val="single" w:sz="8" w:space="0" w:color="auto"/>
              <w:right w:val="single" w:sz="8" w:space="0" w:color="auto"/>
            </w:tcBorders>
          </w:tcPr>
          <w:p w14:paraId="7F5B31C5"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95%</w:t>
            </w:r>
          </w:p>
        </w:tc>
      </w:tr>
      <w:tr w:rsidR="00634415" w:rsidRPr="00634415" w14:paraId="515778F8" w14:textId="77777777" w:rsidTr="00634415">
        <w:trPr>
          <w:trHeight w:val="248"/>
          <w:jc w:val="center"/>
        </w:trPr>
        <w:tc>
          <w:tcPr>
            <w:tcW w:w="2907" w:type="dxa"/>
            <w:tcBorders>
              <w:top w:val="single" w:sz="8" w:space="0" w:color="auto"/>
              <w:left w:val="single" w:sz="8" w:space="0" w:color="auto"/>
              <w:bottom w:val="single" w:sz="8" w:space="0" w:color="auto"/>
              <w:right w:val="single" w:sz="8" w:space="0" w:color="auto"/>
            </w:tcBorders>
          </w:tcPr>
          <w:p w14:paraId="2A9F9BA0"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Community Building</w:t>
            </w:r>
          </w:p>
        </w:tc>
        <w:tc>
          <w:tcPr>
            <w:tcW w:w="1763" w:type="dxa"/>
            <w:tcBorders>
              <w:top w:val="single" w:sz="8" w:space="0" w:color="auto"/>
              <w:left w:val="single" w:sz="8" w:space="0" w:color="auto"/>
              <w:bottom w:val="single" w:sz="8" w:space="0" w:color="auto"/>
              <w:right w:val="single" w:sz="8" w:space="0" w:color="auto"/>
            </w:tcBorders>
          </w:tcPr>
          <w:p w14:paraId="48220D9C"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91%</w:t>
            </w:r>
          </w:p>
        </w:tc>
        <w:tc>
          <w:tcPr>
            <w:tcW w:w="1710" w:type="dxa"/>
            <w:tcBorders>
              <w:top w:val="single" w:sz="8" w:space="0" w:color="auto"/>
              <w:left w:val="single" w:sz="8" w:space="0" w:color="auto"/>
              <w:bottom w:val="single" w:sz="8" w:space="0" w:color="auto"/>
              <w:right w:val="single" w:sz="8" w:space="0" w:color="auto"/>
            </w:tcBorders>
          </w:tcPr>
          <w:p w14:paraId="5D70F442"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94%</w:t>
            </w:r>
          </w:p>
        </w:tc>
      </w:tr>
      <w:tr w:rsidR="00634415" w:rsidRPr="00634415" w14:paraId="6BCA3658" w14:textId="77777777" w:rsidTr="00634415">
        <w:trPr>
          <w:trHeight w:val="261"/>
          <w:jc w:val="center"/>
        </w:trPr>
        <w:tc>
          <w:tcPr>
            <w:tcW w:w="2907" w:type="dxa"/>
            <w:tcBorders>
              <w:top w:val="single" w:sz="8" w:space="0" w:color="auto"/>
              <w:left w:val="single" w:sz="8" w:space="0" w:color="auto"/>
              <w:bottom w:val="single" w:sz="8" w:space="0" w:color="auto"/>
              <w:right w:val="single" w:sz="8" w:space="0" w:color="auto"/>
            </w:tcBorders>
          </w:tcPr>
          <w:p w14:paraId="23C898A3"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Communication Skills</w:t>
            </w:r>
          </w:p>
        </w:tc>
        <w:tc>
          <w:tcPr>
            <w:tcW w:w="1763" w:type="dxa"/>
            <w:tcBorders>
              <w:top w:val="single" w:sz="8" w:space="0" w:color="auto"/>
              <w:left w:val="single" w:sz="8" w:space="0" w:color="auto"/>
              <w:bottom w:val="single" w:sz="8" w:space="0" w:color="auto"/>
              <w:right w:val="single" w:sz="8" w:space="0" w:color="auto"/>
            </w:tcBorders>
          </w:tcPr>
          <w:p w14:paraId="6194772F"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90%</w:t>
            </w:r>
          </w:p>
        </w:tc>
        <w:tc>
          <w:tcPr>
            <w:tcW w:w="1710" w:type="dxa"/>
            <w:tcBorders>
              <w:top w:val="single" w:sz="8" w:space="0" w:color="auto"/>
              <w:left w:val="single" w:sz="8" w:space="0" w:color="auto"/>
              <w:bottom w:val="single" w:sz="8" w:space="0" w:color="auto"/>
              <w:right w:val="single" w:sz="8" w:space="0" w:color="auto"/>
            </w:tcBorders>
          </w:tcPr>
          <w:p w14:paraId="17AD3B57"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94%</w:t>
            </w:r>
          </w:p>
        </w:tc>
      </w:tr>
      <w:tr w:rsidR="00634415" w:rsidRPr="00634415" w14:paraId="77986A48" w14:textId="77777777" w:rsidTr="00634415">
        <w:trPr>
          <w:trHeight w:val="248"/>
          <w:jc w:val="center"/>
        </w:trPr>
        <w:tc>
          <w:tcPr>
            <w:tcW w:w="2907" w:type="dxa"/>
            <w:tcBorders>
              <w:top w:val="single" w:sz="8" w:space="0" w:color="auto"/>
              <w:left w:val="single" w:sz="8" w:space="0" w:color="auto"/>
              <w:bottom w:val="single" w:sz="8" w:space="0" w:color="auto"/>
              <w:right w:val="single" w:sz="8" w:space="0" w:color="auto"/>
            </w:tcBorders>
          </w:tcPr>
          <w:p w14:paraId="4793C195"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Critical Thinking CAT</w:t>
            </w:r>
          </w:p>
        </w:tc>
        <w:tc>
          <w:tcPr>
            <w:tcW w:w="1763" w:type="dxa"/>
            <w:tcBorders>
              <w:top w:val="single" w:sz="8" w:space="0" w:color="auto"/>
              <w:left w:val="single" w:sz="8" w:space="0" w:color="auto"/>
              <w:bottom w:val="single" w:sz="8" w:space="0" w:color="auto"/>
              <w:right w:val="single" w:sz="8" w:space="0" w:color="auto"/>
            </w:tcBorders>
          </w:tcPr>
          <w:p w14:paraId="0A765576"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92%</w:t>
            </w:r>
          </w:p>
        </w:tc>
        <w:tc>
          <w:tcPr>
            <w:tcW w:w="1710" w:type="dxa"/>
            <w:tcBorders>
              <w:top w:val="single" w:sz="8" w:space="0" w:color="auto"/>
              <w:left w:val="single" w:sz="8" w:space="0" w:color="auto"/>
              <w:bottom w:val="single" w:sz="8" w:space="0" w:color="auto"/>
              <w:right w:val="single" w:sz="8" w:space="0" w:color="auto"/>
            </w:tcBorders>
          </w:tcPr>
          <w:p w14:paraId="78B94BA8"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94%</w:t>
            </w:r>
          </w:p>
        </w:tc>
      </w:tr>
      <w:tr w:rsidR="00634415" w:rsidRPr="00634415" w14:paraId="220DAA2F" w14:textId="77777777" w:rsidTr="00634415">
        <w:trPr>
          <w:trHeight w:val="248"/>
          <w:jc w:val="center"/>
        </w:trPr>
        <w:tc>
          <w:tcPr>
            <w:tcW w:w="2907" w:type="dxa"/>
            <w:tcBorders>
              <w:top w:val="single" w:sz="8" w:space="0" w:color="auto"/>
              <w:left w:val="single" w:sz="8" w:space="0" w:color="auto"/>
              <w:bottom w:val="single" w:sz="8" w:space="0" w:color="auto"/>
              <w:right w:val="single" w:sz="8" w:space="0" w:color="auto"/>
            </w:tcBorders>
          </w:tcPr>
          <w:p w14:paraId="2D324EE8"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Critical Thinking FYS</w:t>
            </w:r>
          </w:p>
        </w:tc>
        <w:tc>
          <w:tcPr>
            <w:tcW w:w="1763" w:type="dxa"/>
            <w:tcBorders>
              <w:top w:val="single" w:sz="8" w:space="0" w:color="auto"/>
              <w:left w:val="single" w:sz="8" w:space="0" w:color="auto"/>
              <w:bottom w:val="single" w:sz="8" w:space="0" w:color="auto"/>
              <w:right w:val="single" w:sz="8" w:space="0" w:color="auto"/>
            </w:tcBorders>
          </w:tcPr>
          <w:p w14:paraId="7E09F2C5"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92%</w:t>
            </w:r>
          </w:p>
        </w:tc>
        <w:tc>
          <w:tcPr>
            <w:tcW w:w="1710" w:type="dxa"/>
            <w:tcBorders>
              <w:top w:val="single" w:sz="8" w:space="0" w:color="auto"/>
              <w:left w:val="single" w:sz="8" w:space="0" w:color="auto"/>
              <w:bottom w:val="single" w:sz="8" w:space="0" w:color="auto"/>
              <w:right w:val="single" w:sz="8" w:space="0" w:color="auto"/>
            </w:tcBorders>
          </w:tcPr>
          <w:p w14:paraId="5EB35D43" w14:textId="77777777" w:rsidR="00634415" w:rsidRPr="00634415" w:rsidRDefault="00634415" w:rsidP="00634415">
            <w:pPr>
              <w:spacing w:line="276" w:lineRule="auto"/>
              <w:rPr>
                <w:rFonts w:eastAsia="Times New Roman"/>
                <w:sz w:val="24"/>
                <w:szCs w:val="24"/>
              </w:rPr>
            </w:pPr>
            <w:r w:rsidRPr="00634415">
              <w:rPr>
                <w:rFonts w:eastAsia="Times New Roman"/>
                <w:sz w:val="24"/>
                <w:szCs w:val="24"/>
              </w:rPr>
              <w:t>92%</w:t>
            </w:r>
          </w:p>
        </w:tc>
      </w:tr>
    </w:tbl>
    <w:p w14:paraId="0146948F" w14:textId="77777777" w:rsidR="00634415" w:rsidRPr="00634415" w:rsidRDefault="00634415" w:rsidP="00634415">
      <w:pPr>
        <w:spacing w:line="276" w:lineRule="auto"/>
        <w:rPr>
          <w:rFonts w:ascii="Calibri" w:eastAsia="Times New Roman" w:hAnsi="Calibri" w:cs="Calibri"/>
        </w:rPr>
      </w:pPr>
    </w:p>
    <w:p w14:paraId="19AF290D" w14:textId="77777777" w:rsidR="00634415" w:rsidRDefault="00634415" w:rsidP="00634415">
      <w:pPr>
        <w:jc w:val="right"/>
      </w:pPr>
    </w:p>
    <w:p w14:paraId="64E78702" w14:textId="44F8D925" w:rsidR="00634415" w:rsidRPr="00634415" w:rsidRDefault="00634415" w:rsidP="00634415">
      <w:pPr>
        <w:jc w:val="right"/>
      </w:pPr>
      <w:r w:rsidRPr="00634415">
        <w:t>Gregory Eiselein</w:t>
      </w:r>
    </w:p>
    <w:p w14:paraId="699A1969" w14:textId="68FCCAB1" w:rsidR="00634415" w:rsidRPr="00634415" w:rsidRDefault="00634415" w:rsidP="00634415">
      <w:pPr>
        <w:jc w:val="right"/>
      </w:pPr>
      <w:r w:rsidRPr="00634415">
        <w:t>28 January 2022</w:t>
      </w:r>
    </w:p>
    <w:sectPr w:rsidR="00634415" w:rsidRPr="00634415" w:rsidSect="0063441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7A77"/>
    <w:multiLevelType w:val="hybridMultilevel"/>
    <w:tmpl w:val="204417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415"/>
    <w:rsid w:val="001D7FBA"/>
    <w:rsid w:val="003339C9"/>
    <w:rsid w:val="004F45F4"/>
    <w:rsid w:val="0059032C"/>
    <w:rsid w:val="00600645"/>
    <w:rsid w:val="00634415"/>
    <w:rsid w:val="00832BB5"/>
    <w:rsid w:val="00A87780"/>
    <w:rsid w:val="00AF2F5B"/>
    <w:rsid w:val="00D410E4"/>
    <w:rsid w:val="00DF37C5"/>
    <w:rsid w:val="00E7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BA7C7F"/>
  <w14:defaultImageDpi w14:val="32767"/>
  <w15:chartTrackingRefBased/>
  <w15:docId w15:val="{CC6AFF15-F62C-3E4E-B7E3-BA4F7310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4415"/>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634415"/>
    <w:rPr>
      <w:rFonts w:ascii="Calibri" w:eastAsia="Calibri" w:hAnsi="Calibri" w:cs="Calibr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Eiselein</dc:creator>
  <cp:keywords/>
  <dc:description/>
  <cp:lastModifiedBy>Gregory Eiselein</cp:lastModifiedBy>
  <cp:revision>2</cp:revision>
  <dcterms:created xsi:type="dcterms:W3CDTF">2022-01-28T22:11:00Z</dcterms:created>
  <dcterms:modified xsi:type="dcterms:W3CDTF">2022-01-28T22:22:00Z</dcterms:modified>
</cp:coreProperties>
</file>