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08FE" w14:textId="3F660AE4" w:rsidR="000109EA" w:rsidRPr="00B917C2" w:rsidRDefault="004F3237" w:rsidP="000109EA">
      <w:pPr>
        <w:pStyle w:val="NoSpacing"/>
        <w:pBdr>
          <w:bottom w:val="single" w:sz="12" w:space="1" w:color="auto"/>
        </w:pBdr>
        <w:jc w:val="center"/>
        <w:rPr>
          <w:rFonts w:cstheme="minorHAnsi"/>
          <w:b/>
          <w:color w:val="000000" w:themeColor="text1"/>
          <w:sz w:val="28"/>
          <w:szCs w:val="28"/>
        </w:rPr>
      </w:pPr>
      <w:r w:rsidRPr="00B917C2">
        <w:rPr>
          <w:rFonts w:cstheme="minorHAnsi"/>
          <w:b/>
          <w:bCs/>
          <w:color w:val="000000" w:themeColor="text1"/>
          <w:sz w:val="28"/>
          <w:szCs w:val="28"/>
        </w:rPr>
        <w:t xml:space="preserve">Co-Curricular </w:t>
      </w:r>
      <w:r w:rsidR="00FC4E24" w:rsidRPr="00B917C2">
        <w:rPr>
          <w:rFonts w:cstheme="minorHAnsi"/>
          <w:b/>
          <w:color w:val="000000" w:themeColor="text1"/>
          <w:sz w:val="28"/>
          <w:szCs w:val="28"/>
        </w:rPr>
        <w:t xml:space="preserve">Assessment </w:t>
      </w:r>
      <w:r w:rsidR="00CB1AF1" w:rsidRPr="00B917C2">
        <w:rPr>
          <w:rFonts w:cstheme="minorHAnsi"/>
          <w:b/>
          <w:color w:val="000000" w:themeColor="text1"/>
          <w:sz w:val="28"/>
          <w:szCs w:val="28"/>
        </w:rPr>
        <w:t>Report</w:t>
      </w:r>
    </w:p>
    <w:p w14:paraId="0CE48AE5" w14:textId="77777777" w:rsidR="000109EA" w:rsidRPr="00B917C2" w:rsidRDefault="000109EA" w:rsidP="00CB1AF1">
      <w:pPr>
        <w:rPr>
          <w:rFonts w:asciiTheme="minorHAnsi" w:hAnsiTheme="minorHAnsi" w:cstheme="minorHAnsi"/>
          <w:b/>
          <w:color w:val="000000" w:themeColor="text1"/>
        </w:rPr>
      </w:pPr>
    </w:p>
    <w:p w14:paraId="059C1D3E" w14:textId="5971D16D" w:rsidR="000109EA" w:rsidRPr="00B917C2" w:rsidRDefault="00CB1AF1" w:rsidP="00CB1AF1">
      <w:pPr>
        <w:rPr>
          <w:rFonts w:asciiTheme="minorHAnsi" w:hAnsiTheme="minorHAnsi" w:cstheme="minorHAnsi"/>
          <w:b/>
          <w:color w:val="000000" w:themeColor="text1"/>
        </w:rPr>
      </w:pPr>
      <w:r w:rsidRPr="00B917C2">
        <w:rPr>
          <w:rFonts w:asciiTheme="minorHAnsi" w:hAnsiTheme="minorHAnsi" w:cstheme="minorHAnsi"/>
          <w:b/>
          <w:color w:val="000000" w:themeColor="text1"/>
        </w:rPr>
        <w:t>Office</w:t>
      </w:r>
      <w:r w:rsidR="00B82F19" w:rsidRPr="00B917C2">
        <w:rPr>
          <w:rFonts w:asciiTheme="minorHAnsi" w:hAnsiTheme="minorHAnsi" w:cstheme="minorHAnsi"/>
          <w:b/>
          <w:color w:val="000000" w:themeColor="text1"/>
        </w:rPr>
        <w:t>/Program</w:t>
      </w:r>
      <w:r w:rsidR="00FC4E24" w:rsidRPr="00B917C2">
        <w:rPr>
          <w:rFonts w:asciiTheme="minorHAnsi" w:hAnsiTheme="minorHAnsi" w:cstheme="minorHAnsi"/>
          <w:b/>
          <w:color w:val="000000" w:themeColor="text1"/>
        </w:rPr>
        <w:t xml:space="preserve"> Name:</w:t>
      </w:r>
      <w:r w:rsidR="008E777C" w:rsidRPr="00B917C2">
        <w:rPr>
          <w:rFonts w:asciiTheme="minorHAnsi" w:hAnsiTheme="minorHAnsi" w:cstheme="minorHAnsi"/>
          <w:b/>
          <w:color w:val="000000" w:themeColor="text1"/>
        </w:rPr>
        <w:t xml:space="preserve"> </w:t>
      </w:r>
      <w:r w:rsidR="008308A1">
        <w:rPr>
          <w:rFonts w:asciiTheme="minorHAnsi" w:hAnsiTheme="minorHAnsi" w:cstheme="minorHAnsi"/>
          <w:b/>
          <w:color w:val="000000" w:themeColor="text1"/>
        </w:rPr>
        <w:t>K-State First</w:t>
      </w:r>
    </w:p>
    <w:p w14:paraId="411AD98D" w14:textId="3FDBC549" w:rsidR="00CB1AF1" w:rsidRPr="00B917C2" w:rsidRDefault="000109EA" w:rsidP="00CB1AF1">
      <w:pPr>
        <w:rPr>
          <w:rFonts w:asciiTheme="minorHAnsi" w:hAnsiTheme="minorHAnsi" w:cstheme="minorHAnsi"/>
          <w:b/>
          <w:color w:val="000000" w:themeColor="text1"/>
        </w:rPr>
      </w:pPr>
      <w:r w:rsidRPr="00B917C2">
        <w:rPr>
          <w:rFonts w:asciiTheme="minorHAnsi" w:hAnsiTheme="minorHAnsi" w:cstheme="minorHAnsi"/>
          <w:b/>
          <w:color w:val="000000" w:themeColor="text1"/>
        </w:rPr>
        <w:t>Assessment Contact</w:t>
      </w:r>
      <w:r w:rsidR="00091E47" w:rsidRPr="00B917C2">
        <w:rPr>
          <w:rFonts w:asciiTheme="minorHAnsi" w:hAnsiTheme="minorHAnsi" w:cstheme="minorHAnsi"/>
          <w:b/>
          <w:color w:val="000000" w:themeColor="text1"/>
        </w:rPr>
        <w:t xml:space="preserve"> Name</w:t>
      </w:r>
      <w:r w:rsidR="00EF6427" w:rsidRPr="00B917C2">
        <w:rPr>
          <w:rFonts w:asciiTheme="minorHAnsi" w:hAnsiTheme="minorHAnsi" w:cstheme="minorHAnsi"/>
          <w:b/>
          <w:color w:val="000000" w:themeColor="text1"/>
        </w:rPr>
        <w:t>:</w:t>
      </w:r>
      <w:r w:rsidRPr="00B917C2">
        <w:rPr>
          <w:rFonts w:asciiTheme="minorHAnsi" w:hAnsiTheme="minorHAnsi" w:cstheme="minorHAnsi"/>
          <w:b/>
          <w:color w:val="000000" w:themeColor="text1"/>
        </w:rPr>
        <w:t xml:space="preserve"> </w:t>
      </w:r>
      <w:r w:rsidR="008308A1">
        <w:rPr>
          <w:rFonts w:asciiTheme="minorHAnsi" w:hAnsiTheme="minorHAnsi" w:cstheme="minorHAnsi"/>
          <w:b/>
          <w:color w:val="000000" w:themeColor="text1"/>
        </w:rPr>
        <w:t>Brie Heidbreder</w:t>
      </w:r>
    </w:p>
    <w:p w14:paraId="38A644D8" w14:textId="4338EBAB" w:rsidR="00091E47" w:rsidRPr="00B917C2" w:rsidRDefault="00091E47" w:rsidP="00CB1AF1">
      <w:pPr>
        <w:rPr>
          <w:rFonts w:asciiTheme="minorHAnsi" w:hAnsiTheme="minorHAnsi" w:cstheme="minorHAnsi"/>
          <w:b/>
          <w:color w:val="000000" w:themeColor="text1"/>
        </w:rPr>
      </w:pPr>
      <w:r w:rsidRPr="00B917C2">
        <w:rPr>
          <w:rFonts w:asciiTheme="minorHAnsi" w:hAnsiTheme="minorHAnsi" w:cstheme="minorHAnsi"/>
          <w:b/>
          <w:color w:val="000000" w:themeColor="text1"/>
        </w:rPr>
        <w:t xml:space="preserve">Assessment Contact Email: </w:t>
      </w:r>
      <w:r w:rsidR="008308A1">
        <w:rPr>
          <w:rFonts w:asciiTheme="minorHAnsi" w:hAnsiTheme="minorHAnsi" w:cstheme="minorHAnsi"/>
          <w:b/>
          <w:color w:val="000000" w:themeColor="text1"/>
        </w:rPr>
        <w:t>heidbr@ksu.edu</w:t>
      </w:r>
    </w:p>
    <w:p w14:paraId="1DA7F9A8" w14:textId="409A2537" w:rsidR="000109EA" w:rsidRPr="00B917C2" w:rsidRDefault="000109EA" w:rsidP="00CB1AF1">
      <w:pPr>
        <w:rPr>
          <w:rFonts w:asciiTheme="minorHAnsi" w:hAnsiTheme="minorHAnsi" w:cstheme="minorHAnsi"/>
          <w:b/>
          <w:color w:val="000000" w:themeColor="text1"/>
        </w:rPr>
      </w:pPr>
      <w:bookmarkStart w:id="0" w:name="_Hlk95403225"/>
      <w:r w:rsidRPr="00B917C2">
        <w:rPr>
          <w:rFonts w:asciiTheme="minorHAnsi" w:hAnsiTheme="minorHAnsi" w:cstheme="minorHAnsi"/>
          <w:b/>
          <w:color w:val="000000" w:themeColor="text1"/>
        </w:rPr>
        <w:t>Office</w:t>
      </w:r>
      <w:r w:rsidR="00091E47" w:rsidRPr="00B917C2">
        <w:rPr>
          <w:rFonts w:asciiTheme="minorHAnsi" w:hAnsiTheme="minorHAnsi" w:cstheme="minorHAnsi"/>
          <w:b/>
          <w:color w:val="000000" w:themeColor="text1"/>
        </w:rPr>
        <w:t>/</w:t>
      </w:r>
      <w:r w:rsidR="00ED083F" w:rsidRPr="00B917C2">
        <w:rPr>
          <w:rFonts w:asciiTheme="minorHAnsi" w:hAnsiTheme="minorHAnsi" w:cstheme="minorHAnsi"/>
          <w:b/>
          <w:color w:val="000000" w:themeColor="text1"/>
        </w:rPr>
        <w:t xml:space="preserve">Unit </w:t>
      </w:r>
      <w:r w:rsidRPr="00B917C2">
        <w:rPr>
          <w:rFonts w:asciiTheme="minorHAnsi" w:hAnsiTheme="minorHAnsi" w:cstheme="minorHAnsi"/>
          <w:b/>
          <w:color w:val="000000" w:themeColor="text1"/>
        </w:rPr>
        <w:t xml:space="preserve">Director: </w:t>
      </w:r>
      <w:r w:rsidR="008308A1">
        <w:rPr>
          <w:rFonts w:asciiTheme="minorHAnsi" w:hAnsiTheme="minorHAnsi" w:cstheme="minorHAnsi"/>
          <w:b/>
          <w:color w:val="000000" w:themeColor="text1"/>
        </w:rPr>
        <w:t>Brie Heidbreder</w:t>
      </w:r>
    </w:p>
    <w:bookmarkEnd w:id="0"/>
    <w:p w14:paraId="253DB1B8" w14:textId="1BDA2DBB" w:rsidR="00CB1AF1" w:rsidRPr="00B917C2" w:rsidRDefault="00091E47" w:rsidP="0996CAEE">
      <w:pPr>
        <w:rPr>
          <w:rFonts w:asciiTheme="minorHAnsi" w:hAnsiTheme="minorHAnsi" w:cstheme="minorBidi"/>
          <w:b/>
          <w:bCs/>
          <w:color w:val="000000" w:themeColor="text1"/>
        </w:rPr>
      </w:pPr>
      <w:r w:rsidRPr="0996CAEE">
        <w:rPr>
          <w:rFonts w:asciiTheme="minorHAnsi" w:hAnsiTheme="minorHAnsi" w:cstheme="minorBidi"/>
          <w:b/>
          <w:bCs/>
          <w:color w:val="000000" w:themeColor="text1"/>
        </w:rPr>
        <w:t>Office/</w:t>
      </w:r>
      <w:r w:rsidR="00ED083F" w:rsidRPr="0996CAEE">
        <w:rPr>
          <w:rFonts w:asciiTheme="minorHAnsi" w:hAnsiTheme="minorHAnsi" w:cstheme="minorBidi"/>
          <w:b/>
          <w:bCs/>
          <w:color w:val="000000" w:themeColor="text1"/>
        </w:rPr>
        <w:t xml:space="preserve">Unit </w:t>
      </w:r>
      <w:r w:rsidRPr="0996CAEE">
        <w:rPr>
          <w:rFonts w:asciiTheme="minorHAnsi" w:hAnsiTheme="minorHAnsi" w:cstheme="minorBidi"/>
          <w:b/>
          <w:bCs/>
          <w:color w:val="000000" w:themeColor="text1"/>
        </w:rPr>
        <w:t>Assessment</w:t>
      </w:r>
      <w:r w:rsidR="00ED083F" w:rsidRPr="0996CAEE">
        <w:rPr>
          <w:rFonts w:asciiTheme="minorHAnsi" w:hAnsiTheme="minorHAnsi" w:cstheme="minorBidi"/>
          <w:b/>
          <w:bCs/>
          <w:color w:val="000000" w:themeColor="text1"/>
        </w:rPr>
        <w:t xml:space="preserve"> </w:t>
      </w:r>
      <w:r w:rsidR="60878EB2" w:rsidRPr="0996CAEE">
        <w:rPr>
          <w:rFonts w:asciiTheme="minorHAnsi" w:hAnsiTheme="minorHAnsi" w:cstheme="minorBidi"/>
          <w:b/>
          <w:bCs/>
          <w:color w:val="000000" w:themeColor="text1"/>
        </w:rPr>
        <w:t>W</w:t>
      </w:r>
      <w:r w:rsidR="00ED083F" w:rsidRPr="0996CAEE">
        <w:rPr>
          <w:rFonts w:asciiTheme="minorHAnsi" w:hAnsiTheme="minorHAnsi" w:cstheme="minorBidi"/>
          <w:b/>
          <w:bCs/>
          <w:color w:val="000000" w:themeColor="text1"/>
        </w:rPr>
        <w:t>ebpage</w:t>
      </w:r>
      <w:r w:rsidRPr="0996CAEE">
        <w:rPr>
          <w:rFonts w:asciiTheme="minorHAnsi" w:hAnsiTheme="minorHAnsi" w:cstheme="minorBidi"/>
          <w:b/>
          <w:bCs/>
          <w:color w:val="000000" w:themeColor="text1"/>
        </w:rPr>
        <w:t>:</w:t>
      </w:r>
      <w:r w:rsidR="008308A1">
        <w:rPr>
          <w:rFonts w:asciiTheme="minorHAnsi" w:hAnsiTheme="minorHAnsi" w:cstheme="minorBidi"/>
          <w:b/>
          <w:bCs/>
          <w:color w:val="000000" w:themeColor="text1"/>
        </w:rPr>
        <w:t xml:space="preserve"> </w:t>
      </w:r>
      <w:r w:rsidR="008308A1" w:rsidRPr="008308A1">
        <w:rPr>
          <w:rFonts w:asciiTheme="minorHAnsi" w:hAnsiTheme="minorHAnsi" w:cstheme="minorBidi"/>
          <w:b/>
          <w:bCs/>
          <w:color w:val="000000" w:themeColor="text1"/>
        </w:rPr>
        <w:t>https://www.k-state.edu/first/</w:t>
      </w:r>
    </w:p>
    <w:p w14:paraId="0DE00E9D" w14:textId="77777777" w:rsidR="00F96F76" w:rsidRPr="00B917C2" w:rsidRDefault="00F96F76" w:rsidP="00CB1AF1">
      <w:pPr>
        <w:rPr>
          <w:rFonts w:asciiTheme="minorHAnsi" w:hAnsiTheme="minorHAnsi" w:cstheme="minorHAnsi"/>
          <w:color w:val="000000" w:themeColor="text1"/>
        </w:rPr>
      </w:pPr>
    </w:p>
    <w:p w14:paraId="39945782" w14:textId="77777777" w:rsidR="008308A1" w:rsidRDefault="008308A1" w:rsidP="00CB1AF1">
      <w:pPr>
        <w:rPr>
          <w:rFonts w:asciiTheme="minorHAnsi" w:hAnsiTheme="minorHAnsi" w:cstheme="minorHAnsi"/>
          <w:b/>
          <w:color w:val="000000" w:themeColor="text1"/>
        </w:rPr>
      </w:pPr>
    </w:p>
    <w:p w14:paraId="73946127" w14:textId="622ED453" w:rsidR="00AD088C" w:rsidRPr="00B917C2" w:rsidRDefault="00AD088C" w:rsidP="00CB1AF1">
      <w:pPr>
        <w:rPr>
          <w:rFonts w:asciiTheme="minorHAnsi" w:hAnsiTheme="minorHAnsi" w:cstheme="minorHAnsi"/>
          <w:b/>
          <w:color w:val="000000" w:themeColor="text1"/>
        </w:rPr>
      </w:pPr>
      <w:r w:rsidRPr="00B917C2">
        <w:rPr>
          <w:rFonts w:asciiTheme="minorHAnsi" w:hAnsiTheme="minorHAnsi" w:cstheme="minorHAnsi"/>
          <w:b/>
          <w:color w:val="000000" w:themeColor="text1"/>
        </w:rPr>
        <w:t>Mission</w:t>
      </w:r>
      <w:r w:rsidR="00FC4E24" w:rsidRPr="00B917C2">
        <w:rPr>
          <w:rFonts w:asciiTheme="minorHAnsi" w:hAnsiTheme="minorHAnsi" w:cstheme="minorHAnsi"/>
          <w:b/>
          <w:color w:val="000000" w:themeColor="text1"/>
        </w:rPr>
        <w:t>/Purpose</w:t>
      </w:r>
    </w:p>
    <w:p w14:paraId="25700BF2" w14:textId="46C16D89" w:rsidR="00CB1AF1" w:rsidRDefault="00CB1AF1" w:rsidP="00CB1AF1">
      <w:pPr>
        <w:ind w:left="720"/>
        <w:rPr>
          <w:rFonts w:asciiTheme="minorHAnsi" w:hAnsiTheme="minorHAnsi" w:cstheme="minorBidi"/>
          <w:i/>
          <w:iCs/>
          <w:color w:val="000000" w:themeColor="text1"/>
        </w:rPr>
      </w:pPr>
    </w:p>
    <w:p w14:paraId="71F3AE18" w14:textId="77777777" w:rsidR="008308A1" w:rsidRDefault="008308A1" w:rsidP="008308A1">
      <w:r w:rsidRPr="30934504">
        <w:t xml:space="preserve">K-State First is the University's first-year experience program, our way of helping students establish a great foundation for the rest of their college career. We offer first-year seminar courses and learning communities designed specifically for first-year students. We are also the home for the University's common reading program, K-State First Book (KSFB). In everything we do, K-State First is deeply committed to academic excellence, community, diversity, and the empowerment of students.  </w:t>
      </w:r>
    </w:p>
    <w:p w14:paraId="05940DF2" w14:textId="77777777" w:rsidR="00CB1AF1" w:rsidRPr="00B917C2" w:rsidRDefault="00CB1AF1" w:rsidP="008308A1">
      <w:pPr>
        <w:rPr>
          <w:rFonts w:asciiTheme="minorHAnsi" w:hAnsiTheme="minorHAnsi" w:cstheme="minorBidi"/>
          <w:color w:val="000000" w:themeColor="text1"/>
        </w:rPr>
      </w:pPr>
    </w:p>
    <w:p w14:paraId="14E1778C" w14:textId="488C8BD1" w:rsidR="0996CAEE" w:rsidRDefault="0996CAEE" w:rsidP="0996CAEE">
      <w:pPr>
        <w:ind w:left="720"/>
        <w:rPr>
          <w:rFonts w:asciiTheme="minorHAnsi" w:hAnsiTheme="minorHAnsi" w:cstheme="minorBidi"/>
          <w:color w:val="000000" w:themeColor="text1"/>
        </w:rPr>
      </w:pPr>
    </w:p>
    <w:p w14:paraId="763B4033" w14:textId="44BC5B8D" w:rsidR="00CB1AF1" w:rsidRPr="00B917C2" w:rsidRDefault="00CB1AF1" w:rsidP="00CB1AF1">
      <w:pPr>
        <w:rPr>
          <w:rFonts w:asciiTheme="minorHAnsi" w:hAnsiTheme="minorHAnsi" w:cstheme="minorHAnsi"/>
          <w:b/>
          <w:color w:val="000000" w:themeColor="text1"/>
        </w:rPr>
      </w:pPr>
      <w:r w:rsidRPr="00B917C2">
        <w:rPr>
          <w:rFonts w:asciiTheme="minorHAnsi" w:hAnsiTheme="minorHAnsi" w:cstheme="minorHAnsi"/>
          <w:b/>
          <w:color w:val="000000" w:themeColor="text1"/>
        </w:rPr>
        <w:t>Assessment Goal</w:t>
      </w:r>
      <w:r w:rsidR="00E467FD" w:rsidRPr="00B917C2">
        <w:rPr>
          <w:rFonts w:asciiTheme="minorHAnsi" w:hAnsiTheme="minorHAnsi" w:cstheme="minorHAnsi"/>
          <w:b/>
          <w:color w:val="000000" w:themeColor="text1"/>
        </w:rPr>
        <w:t xml:space="preserve">s </w:t>
      </w:r>
    </w:p>
    <w:p w14:paraId="2959F11C" w14:textId="77777777" w:rsidR="008308A1" w:rsidRDefault="008308A1" w:rsidP="008308A1">
      <w:pPr>
        <w:rPr>
          <w:rFonts w:asciiTheme="minorHAnsi" w:hAnsiTheme="minorHAnsi" w:cstheme="minorBidi"/>
          <w:i/>
          <w:iCs/>
          <w:color w:val="000000" w:themeColor="text1"/>
        </w:rPr>
      </w:pPr>
    </w:p>
    <w:p w14:paraId="25A8D8BB" w14:textId="24BA49A5" w:rsidR="008308A1" w:rsidRDefault="008308A1" w:rsidP="008308A1">
      <w:pPr>
        <w:rPr>
          <w:rFonts w:asciiTheme="minorHAnsi" w:hAnsiTheme="minorHAnsi" w:cstheme="minorBidi"/>
          <w:i/>
          <w:iCs/>
          <w:color w:val="000000" w:themeColor="text1"/>
        </w:rPr>
      </w:pPr>
      <w:r>
        <w:rPr>
          <w:rFonts w:asciiTheme="minorHAnsi" w:hAnsiTheme="minorHAnsi" w:cstheme="minorBidi"/>
          <w:i/>
          <w:iCs/>
          <w:color w:val="000000" w:themeColor="text1"/>
        </w:rPr>
        <w:t xml:space="preserve">Goal 1: </w:t>
      </w:r>
      <w:proofErr w:type="gramStart"/>
      <w:r>
        <w:rPr>
          <w:rFonts w:asciiTheme="minorHAnsi" w:hAnsiTheme="minorHAnsi" w:cstheme="minorBidi"/>
          <w:i/>
          <w:iCs/>
          <w:color w:val="000000" w:themeColor="text1"/>
        </w:rPr>
        <w:t>Assessment</w:t>
      </w:r>
      <w:proofErr w:type="gramEnd"/>
      <w:r>
        <w:rPr>
          <w:rFonts w:asciiTheme="minorHAnsi" w:hAnsiTheme="minorHAnsi" w:cstheme="minorBidi"/>
          <w:i/>
          <w:iCs/>
          <w:color w:val="000000" w:themeColor="text1"/>
        </w:rPr>
        <w:t xml:space="preserve"> completion Rates</w:t>
      </w:r>
    </w:p>
    <w:p w14:paraId="60052B40" w14:textId="77777777" w:rsidR="008308A1" w:rsidRDefault="008308A1" w:rsidP="008308A1">
      <w:pPr>
        <w:rPr>
          <w:rFonts w:asciiTheme="minorHAnsi" w:hAnsiTheme="minorHAnsi" w:cstheme="minorBidi"/>
          <w:i/>
          <w:iCs/>
          <w:color w:val="000000" w:themeColor="text1"/>
        </w:rPr>
      </w:pPr>
    </w:p>
    <w:p w14:paraId="6ADF53CF" w14:textId="77777777" w:rsidR="008308A1" w:rsidRDefault="008308A1" w:rsidP="008308A1">
      <w:r w:rsidRPr="30934504">
        <w:t xml:space="preserve">K-State First has conducted program </w:t>
      </w:r>
      <w:proofErr w:type="gramStart"/>
      <w:r w:rsidRPr="30934504">
        <w:t>assessment</w:t>
      </w:r>
      <w:proofErr w:type="gramEnd"/>
      <w:r w:rsidRPr="30934504">
        <w:t xml:space="preserve"> since 2008. In 2020, we implemented a Student Learning Outcome assessment designed to gather information on how well our students are meeting the outcomes for all first-year courses. We ask faculty and instructors to complete our </w:t>
      </w:r>
      <w:proofErr w:type="gramStart"/>
      <w:r w:rsidRPr="30934504">
        <w:t>designed</w:t>
      </w:r>
      <w:proofErr w:type="gramEnd"/>
      <w:r w:rsidRPr="30934504">
        <w:t xml:space="preserve"> assessment each fall. </w:t>
      </w:r>
    </w:p>
    <w:p w14:paraId="149F292F" w14:textId="77777777" w:rsidR="008308A1" w:rsidRDefault="008308A1" w:rsidP="008308A1">
      <w:pPr>
        <w:ind w:left="720"/>
      </w:pPr>
    </w:p>
    <w:p w14:paraId="38FBA2A7" w14:textId="77777777" w:rsidR="008308A1" w:rsidRDefault="008308A1" w:rsidP="008308A1">
      <w:r w:rsidRPr="30934504">
        <w:t xml:space="preserve">Our first goal </w:t>
      </w:r>
      <w:r>
        <w:t>is to achieve high</w:t>
      </w:r>
      <w:r w:rsidRPr="30934504">
        <w:t xml:space="preserve"> assessment completion rates. </w:t>
      </w:r>
      <w:r>
        <w:t>K-State First strongly encourages faculty to complete student learning outcome (SLO) assessments, as these data are essential for evaluating and improving student learning. However, we are reliant on faculty taking the time to complete these assessments, which can be challenging given their many responsibilities.</w:t>
      </w:r>
    </w:p>
    <w:p w14:paraId="289BAB73" w14:textId="77777777" w:rsidR="008308A1" w:rsidRDefault="008308A1" w:rsidP="008308A1">
      <w:pPr>
        <w:ind w:left="720"/>
      </w:pPr>
    </w:p>
    <w:p w14:paraId="770D18E4" w14:textId="77777777" w:rsidR="008308A1" w:rsidRDefault="008308A1" w:rsidP="008308A1">
      <w:r>
        <w:t>The assessment completion rates have fluctuated over the past three years. After a significant increase in Fall 2023 across all categories—CAT SLO completion rose from 18% in Fall 2022 to 56% in Fall 2023, and FYS SLO completion jumped from 32% to 70%—the rates declined again in Fall 2024. The overall SLO assessment completion rate increased from 25% in Fall 2022 to 61% in Fall 2023 before dropping to 46% in Fall 2024.</w:t>
      </w:r>
    </w:p>
    <w:p w14:paraId="4C80D2EC" w14:textId="77777777" w:rsidR="008308A1" w:rsidRDefault="008308A1" w:rsidP="008308A1"/>
    <w:p w14:paraId="05287763" w14:textId="77777777" w:rsidR="008308A1" w:rsidRDefault="008308A1" w:rsidP="008308A1">
      <w:r>
        <w:t>These variations highlight the importance of continued faculty engagement and support in the assessment process. While the improvements in Fall 2023 demonstrate what is possible with increased participation, the subsequent decline suggests that additional efforts may be needed to maintain consistency. Encouraging faculty participation remains a priority to ensure we gather the most comprehensive and meaningful data on student learning.</w:t>
      </w:r>
    </w:p>
    <w:p w14:paraId="7C78C7A9" w14:textId="77777777" w:rsidR="008308A1" w:rsidRDefault="008308A1" w:rsidP="008308A1">
      <w:pPr>
        <w:ind w:left="720"/>
        <w:rPr>
          <w:b/>
          <w:bCs/>
        </w:rPr>
      </w:pPr>
    </w:p>
    <w:p w14:paraId="40908F29" w14:textId="77777777" w:rsidR="008308A1" w:rsidRDefault="008308A1" w:rsidP="008308A1">
      <w:pPr>
        <w:ind w:left="720"/>
        <w:jc w:val="center"/>
        <w:rPr>
          <w:b/>
          <w:bCs/>
        </w:rPr>
      </w:pPr>
      <w:r w:rsidRPr="30934504">
        <w:rPr>
          <w:b/>
          <w:bCs/>
        </w:rPr>
        <w:t>Table 1: SLO Assessment Completion Rate</w:t>
      </w:r>
    </w:p>
    <w:tbl>
      <w:tblPr>
        <w:tblStyle w:val="TableGrid"/>
        <w:tblW w:w="0" w:type="auto"/>
        <w:jc w:val="center"/>
        <w:tblLayout w:type="fixed"/>
        <w:tblLook w:val="06A0" w:firstRow="1" w:lastRow="0" w:firstColumn="1" w:lastColumn="0" w:noHBand="1" w:noVBand="1"/>
      </w:tblPr>
      <w:tblGrid>
        <w:gridCol w:w="2016"/>
        <w:gridCol w:w="2016"/>
        <w:gridCol w:w="2016"/>
        <w:gridCol w:w="2016"/>
      </w:tblGrid>
      <w:tr w:rsidR="008308A1" w14:paraId="410C254B" w14:textId="77777777" w:rsidTr="00B112EE">
        <w:trPr>
          <w:trHeight w:val="300"/>
          <w:jc w:val="center"/>
        </w:trPr>
        <w:tc>
          <w:tcPr>
            <w:tcW w:w="2016" w:type="dxa"/>
          </w:tcPr>
          <w:p w14:paraId="04D0FFF9" w14:textId="77777777" w:rsidR="008308A1" w:rsidRDefault="008308A1" w:rsidP="00B112EE">
            <w:pPr>
              <w:rPr>
                <w:rFonts w:eastAsia="Times New Roman"/>
                <w:szCs w:val="24"/>
              </w:rPr>
            </w:pPr>
          </w:p>
        </w:tc>
        <w:tc>
          <w:tcPr>
            <w:tcW w:w="2016" w:type="dxa"/>
          </w:tcPr>
          <w:p w14:paraId="60F8B265" w14:textId="77777777" w:rsidR="008308A1" w:rsidRDefault="008308A1" w:rsidP="00B112EE">
            <w:pPr>
              <w:rPr>
                <w:rFonts w:eastAsia="Times New Roman"/>
                <w:b/>
                <w:bCs/>
                <w:color w:val="000000" w:themeColor="text1"/>
                <w:szCs w:val="24"/>
              </w:rPr>
            </w:pPr>
            <w:r w:rsidRPr="30934504">
              <w:rPr>
                <w:rFonts w:eastAsia="Times New Roman"/>
                <w:b/>
                <w:bCs/>
                <w:color w:val="000000" w:themeColor="text1"/>
                <w:szCs w:val="24"/>
              </w:rPr>
              <w:t>Fall 2022</w:t>
            </w:r>
          </w:p>
        </w:tc>
        <w:tc>
          <w:tcPr>
            <w:tcW w:w="2016" w:type="dxa"/>
          </w:tcPr>
          <w:p w14:paraId="3FE0BCB6" w14:textId="77777777" w:rsidR="008308A1" w:rsidRDefault="008308A1" w:rsidP="00B112EE">
            <w:pPr>
              <w:rPr>
                <w:rFonts w:eastAsia="Times New Roman"/>
                <w:b/>
                <w:bCs/>
                <w:szCs w:val="24"/>
              </w:rPr>
            </w:pPr>
            <w:r w:rsidRPr="30934504">
              <w:rPr>
                <w:rFonts w:eastAsia="Times New Roman"/>
                <w:b/>
                <w:bCs/>
                <w:szCs w:val="24"/>
              </w:rPr>
              <w:t>Fall 20</w:t>
            </w:r>
            <w:r>
              <w:rPr>
                <w:rFonts w:eastAsia="Times New Roman"/>
                <w:b/>
                <w:bCs/>
                <w:szCs w:val="24"/>
              </w:rPr>
              <w:t>2</w:t>
            </w:r>
            <w:r w:rsidRPr="30934504">
              <w:rPr>
                <w:rFonts w:eastAsia="Times New Roman"/>
                <w:b/>
                <w:bCs/>
                <w:szCs w:val="24"/>
              </w:rPr>
              <w:t>3</w:t>
            </w:r>
          </w:p>
        </w:tc>
        <w:tc>
          <w:tcPr>
            <w:tcW w:w="2016" w:type="dxa"/>
          </w:tcPr>
          <w:p w14:paraId="2BB45ACD" w14:textId="77777777" w:rsidR="008308A1" w:rsidRPr="30934504" w:rsidRDefault="008308A1" w:rsidP="00B112EE">
            <w:pPr>
              <w:rPr>
                <w:rFonts w:eastAsia="Times New Roman"/>
                <w:b/>
                <w:bCs/>
                <w:szCs w:val="24"/>
              </w:rPr>
            </w:pPr>
            <w:r>
              <w:rPr>
                <w:rFonts w:eastAsia="Times New Roman"/>
                <w:b/>
                <w:bCs/>
                <w:szCs w:val="24"/>
              </w:rPr>
              <w:t>Fall 2024</w:t>
            </w:r>
          </w:p>
        </w:tc>
      </w:tr>
      <w:tr w:rsidR="008308A1" w14:paraId="40E1BFCD" w14:textId="77777777" w:rsidTr="00B112EE">
        <w:trPr>
          <w:trHeight w:val="300"/>
          <w:jc w:val="center"/>
        </w:trPr>
        <w:tc>
          <w:tcPr>
            <w:tcW w:w="2016" w:type="dxa"/>
          </w:tcPr>
          <w:p w14:paraId="09FF7847" w14:textId="77777777" w:rsidR="008308A1" w:rsidRDefault="008308A1" w:rsidP="00B112EE">
            <w:pPr>
              <w:rPr>
                <w:rFonts w:eastAsia="Times New Roman"/>
                <w:b/>
                <w:bCs/>
                <w:color w:val="000000" w:themeColor="text1"/>
                <w:szCs w:val="24"/>
              </w:rPr>
            </w:pPr>
            <w:r w:rsidRPr="30934504">
              <w:rPr>
                <w:rFonts w:eastAsia="Times New Roman"/>
                <w:b/>
                <w:bCs/>
                <w:color w:val="000000" w:themeColor="text1"/>
                <w:szCs w:val="24"/>
              </w:rPr>
              <w:t>CAT SLO</w:t>
            </w:r>
          </w:p>
        </w:tc>
        <w:tc>
          <w:tcPr>
            <w:tcW w:w="2016" w:type="dxa"/>
          </w:tcPr>
          <w:p w14:paraId="28B600F4" w14:textId="77777777" w:rsidR="008308A1" w:rsidRDefault="008308A1" w:rsidP="00B112EE">
            <w:pPr>
              <w:rPr>
                <w:rFonts w:eastAsia="Times New Roman"/>
                <w:color w:val="000000" w:themeColor="text1"/>
                <w:szCs w:val="24"/>
              </w:rPr>
            </w:pPr>
            <w:r w:rsidRPr="30934504">
              <w:rPr>
                <w:rFonts w:eastAsia="Times New Roman"/>
                <w:color w:val="000000" w:themeColor="text1"/>
                <w:szCs w:val="24"/>
              </w:rPr>
              <w:t xml:space="preserve">18% </w:t>
            </w:r>
          </w:p>
        </w:tc>
        <w:tc>
          <w:tcPr>
            <w:tcW w:w="2016" w:type="dxa"/>
          </w:tcPr>
          <w:p w14:paraId="694F5D37" w14:textId="77777777" w:rsidR="008308A1" w:rsidRDefault="008308A1" w:rsidP="00B112EE">
            <w:pPr>
              <w:rPr>
                <w:rFonts w:eastAsia="Times New Roman"/>
                <w:color w:val="000000" w:themeColor="text1"/>
                <w:szCs w:val="24"/>
              </w:rPr>
            </w:pPr>
            <w:r w:rsidRPr="30934504">
              <w:rPr>
                <w:rFonts w:eastAsia="Times New Roman"/>
                <w:color w:val="000000" w:themeColor="text1"/>
                <w:szCs w:val="24"/>
              </w:rPr>
              <w:t xml:space="preserve">56% </w:t>
            </w:r>
          </w:p>
        </w:tc>
        <w:tc>
          <w:tcPr>
            <w:tcW w:w="2016" w:type="dxa"/>
          </w:tcPr>
          <w:p w14:paraId="24B7F940" w14:textId="77777777" w:rsidR="008308A1" w:rsidRPr="30934504" w:rsidRDefault="008308A1" w:rsidP="00B112EE">
            <w:pPr>
              <w:rPr>
                <w:rFonts w:eastAsia="Times New Roman"/>
                <w:color w:val="000000" w:themeColor="text1"/>
                <w:szCs w:val="24"/>
              </w:rPr>
            </w:pPr>
            <w:r>
              <w:rPr>
                <w:rFonts w:eastAsia="Times New Roman"/>
                <w:color w:val="000000" w:themeColor="text1"/>
                <w:szCs w:val="24"/>
              </w:rPr>
              <w:t>51%</w:t>
            </w:r>
          </w:p>
        </w:tc>
      </w:tr>
      <w:tr w:rsidR="008308A1" w14:paraId="09F94F1C" w14:textId="77777777" w:rsidTr="00B112EE">
        <w:trPr>
          <w:trHeight w:val="300"/>
          <w:jc w:val="center"/>
        </w:trPr>
        <w:tc>
          <w:tcPr>
            <w:tcW w:w="2016" w:type="dxa"/>
          </w:tcPr>
          <w:p w14:paraId="2F87F41D" w14:textId="77777777" w:rsidR="008308A1" w:rsidRDefault="008308A1" w:rsidP="00B112EE">
            <w:pPr>
              <w:rPr>
                <w:rFonts w:eastAsia="Times New Roman"/>
                <w:b/>
                <w:bCs/>
                <w:color w:val="000000" w:themeColor="text1"/>
                <w:szCs w:val="24"/>
              </w:rPr>
            </w:pPr>
            <w:r w:rsidRPr="30934504">
              <w:rPr>
                <w:rFonts w:eastAsia="Times New Roman"/>
                <w:b/>
                <w:bCs/>
                <w:color w:val="000000" w:themeColor="text1"/>
                <w:szCs w:val="24"/>
              </w:rPr>
              <w:t>FYS SLO</w:t>
            </w:r>
          </w:p>
        </w:tc>
        <w:tc>
          <w:tcPr>
            <w:tcW w:w="2016" w:type="dxa"/>
          </w:tcPr>
          <w:p w14:paraId="0DACD1CF" w14:textId="77777777" w:rsidR="008308A1" w:rsidRDefault="008308A1" w:rsidP="00B112EE">
            <w:pPr>
              <w:rPr>
                <w:rFonts w:eastAsia="Times New Roman"/>
                <w:color w:val="000000" w:themeColor="text1"/>
                <w:szCs w:val="24"/>
              </w:rPr>
            </w:pPr>
            <w:r w:rsidRPr="30934504">
              <w:rPr>
                <w:rFonts w:eastAsia="Times New Roman"/>
                <w:color w:val="000000" w:themeColor="text1"/>
                <w:szCs w:val="24"/>
              </w:rPr>
              <w:t xml:space="preserve">32% </w:t>
            </w:r>
          </w:p>
        </w:tc>
        <w:tc>
          <w:tcPr>
            <w:tcW w:w="2016" w:type="dxa"/>
          </w:tcPr>
          <w:p w14:paraId="39F99A70" w14:textId="77777777" w:rsidR="008308A1" w:rsidRDefault="008308A1" w:rsidP="00B112EE">
            <w:pPr>
              <w:rPr>
                <w:rFonts w:eastAsia="Times New Roman"/>
                <w:color w:val="000000" w:themeColor="text1"/>
                <w:szCs w:val="24"/>
              </w:rPr>
            </w:pPr>
            <w:r w:rsidRPr="30934504">
              <w:rPr>
                <w:rFonts w:eastAsia="Times New Roman"/>
                <w:color w:val="000000" w:themeColor="text1"/>
                <w:szCs w:val="24"/>
              </w:rPr>
              <w:t xml:space="preserve">70% </w:t>
            </w:r>
          </w:p>
        </w:tc>
        <w:tc>
          <w:tcPr>
            <w:tcW w:w="2016" w:type="dxa"/>
          </w:tcPr>
          <w:p w14:paraId="37A682EB" w14:textId="77777777" w:rsidR="008308A1" w:rsidRPr="30934504" w:rsidRDefault="008308A1" w:rsidP="00B112EE">
            <w:pPr>
              <w:rPr>
                <w:rFonts w:eastAsia="Times New Roman"/>
                <w:color w:val="000000" w:themeColor="text1"/>
                <w:szCs w:val="24"/>
              </w:rPr>
            </w:pPr>
            <w:r>
              <w:rPr>
                <w:rFonts w:eastAsia="Times New Roman"/>
                <w:color w:val="000000" w:themeColor="text1"/>
                <w:szCs w:val="24"/>
              </w:rPr>
              <w:t>41%</w:t>
            </w:r>
          </w:p>
        </w:tc>
      </w:tr>
      <w:tr w:rsidR="008308A1" w14:paraId="35DBD535" w14:textId="77777777" w:rsidTr="00B112EE">
        <w:trPr>
          <w:trHeight w:val="300"/>
          <w:jc w:val="center"/>
        </w:trPr>
        <w:tc>
          <w:tcPr>
            <w:tcW w:w="2016" w:type="dxa"/>
          </w:tcPr>
          <w:p w14:paraId="3C5CA191" w14:textId="77777777" w:rsidR="008308A1" w:rsidRDefault="008308A1" w:rsidP="00B112EE">
            <w:pPr>
              <w:rPr>
                <w:rFonts w:eastAsia="Times New Roman"/>
                <w:b/>
                <w:bCs/>
                <w:color w:val="000000" w:themeColor="text1"/>
                <w:szCs w:val="24"/>
              </w:rPr>
            </w:pPr>
            <w:r w:rsidRPr="30934504">
              <w:rPr>
                <w:rFonts w:eastAsia="Times New Roman"/>
                <w:b/>
                <w:bCs/>
                <w:color w:val="000000" w:themeColor="text1"/>
                <w:szCs w:val="24"/>
              </w:rPr>
              <w:t>All SLO</w:t>
            </w:r>
          </w:p>
        </w:tc>
        <w:tc>
          <w:tcPr>
            <w:tcW w:w="2016" w:type="dxa"/>
          </w:tcPr>
          <w:p w14:paraId="48AEFA96" w14:textId="77777777" w:rsidR="008308A1" w:rsidRDefault="008308A1" w:rsidP="00B112EE">
            <w:pPr>
              <w:rPr>
                <w:rFonts w:eastAsia="Times New Roman"/>
                <w:color w:val="000000" w:themeColor="text1"/>
                <w:szCs w:val="24"/>
              </w:rPr>
            </w:pPr>
            <w:r w:rsidRPr="30934504">
              <w:rPr>
                <w:rFonts w:eastAsia="Times New Roman"/>
                <w:color w:val="000000" w:themeColor="text1"/>
                <w:szCs w:val="24"/>
              </w:rPr>
              <w:t xml:space="preserve">25% </w:t>
            </w:r>
          </w:p>
        </w:tc>
        <w:tc>
          <w:tcPr>
            <w:tcW w:w="2016" w:type="dxa"/>
          </w:tcPr>
          <w:p w14:paraId="7BD02E32" w14:textId="77777777" w:rsidR="008308A1" w:rsidRDefault="008308A1" w:rsidP="00B112EE">
            <w:pPr>
              <w:rPr>
                <w:rFonts w:eastAsia="Times New Roman"/>
                <w:color w:val="000000" w:themeColor="text1"/>
                <w:szCs w:val="24"/>
              </w:rPr>
            </w:pPr>
            <w:r w:rsidRPr="30934504">
              <w:rPr>
                <w:rFonts w:eastAsia="Times New Roman"/>
                <w:color w:val="000000" w:themeColor="text1"/>
                <w:szCs w:val="24"/>
              </w:rPr>
              <w:t>61%</w:t>
            </w:r>
          </w:p>
        </w:tc>
        <w:tc>
          <w:tcPr>
            <w:tcW w:w="2016" w:type="dxa"/>
          </w:tcPr>
          <w:p w14:paraId="7C892EF8" w14:textId="77777777" w:rsidR="008308A1" w:rsidRPr="30934504" w:rsidRDefault="008308A1" w:rsidP="00B112EE">
            <w:pPr>
              <w:rPr>
                <w:rFonts w:eastAsia="Times New Roman"/>
                <w:color w:val="000000" w:themeColor="text1"/>
                <w:szCs w:val="24"/>
              </w:rPr>
            </w:pPr>
            <w:r>
              <w:rPr>
                <w:rFonts w:eastAsia="Times New Roman"/>
                <w:color w:val="000000" w:themeColor="text1"/>
                <w:szCs w:val="24"/>
              </w:rPr>
              <w:t>46%</w:t>
            </w:r>
          </w:p>
        </w:tc>
      </w:tr>
    </w:tbl>
    <w:p w14:paraId="4D8F287F" w14:textId="77777777" w:rsidR="008308A1" w:rsidRDefault="008308A1" w:rsidP="008308A1"/>
    <w:p w14:paraId="08116C9A" w14:textId="77777777" w:rsidR="008308A1" w:rsidRDefault="008308A1" w:rsidP="008308A1">
      <w:pPr>
        <w:ind w:left="720"/>
      </w:pPr>
    </w:p>
    <w:p w14:paraId="15E23AAF" w14:textId="67764360" w:rsidR="008308A1" w:rsidRDefault="008308A1" w:rsidP="008308A1">
      <w:pPr>
        <w:rPr>
          <w:rFonts w:asciiTheme="minorHAnsi" w:hAnsiTheme="minorHAnsi" w:cstheme="minorBidi"/>
          <w:i/>
          <w:iCs/>
          <w:color w:val="000000" w:themeColor="text1"/>
        </w:rPr>
      </w:pPr>
      <w:r>
        <w:rPr>
          <w:rFonts w:asciiTheme="minorHAnsi" w:hAnsiTheme="minorHAnsi" w:cstheme="minorBidi"/>
          <w:i/>
          <w:iCs/>
          <w:color w:val="000000" w:themeColor="text1"/>
        </w:rPr>
        <w:t xml:space="preserve">Goal </w:t>
      </w:r>
      <w:r>
        <w:rPr>
          <w:rFonts w:asciiTheme="minorHAnsi" w:hAnsiTheme="minorHAnsi" w:cstheme="minorBidi"/>
          <w:i/>
          <w:iCs/>
          <w:color w:val="000000" w:themeColor="text1"/>
        </w:rPr>
        <w:t>2</w:t>
      </w:r>
      <w:r>
        <w:rPr>
          <w:rFonts w:asciiTheme="minorHAnsi" w:hAnsiTheme="minorHAnsi" w:cstheme="minorBidi"/>
          <w:i/>
          <w:iCs/>
          <w:color w:val="000000" w:themeColor="text1"/>
        </w:rPr>
        <w:t xml:space="preserve">: </w:t>
      </w:r>
      <w:r>
        <w:rPr>
          <w:rFonts w:asciiTheme="minorHAnsi" w:hAnsiTheme="minorHAnsi" w:cstheme="minorBidi"/>
          <w:i/>
          <w:iCs/>
          <w:color w:val="000000" w:themeColor="text1"/>
        </w:rPr>
        <w:t>Monitor Student Performance on Student Learning Outcomes</w:t>
      </w:r>
    </w:p>
    <w:p w14:paraId="13185985" w14:textId="77777777" w:rsidR="008308A1" w:rsidRPr="008308A1" w:rsidRDefault="008308A1" w:rsidP="008308A1">
      <w:pPr>
        <w:rPr>
          <w:rFonts w:asciiTheme="minorHAnsi" w:hAnsiTheme="minorHAnsi" w:cstheme="minorHAnsi"/>
          <w:color w:val="000000" w:themeColor="text1"/>
        </w:rPr>
      </w:pPr>
    </w:p>
    <w:p w14:paraId="3DFACE6C" w14:textId="77777777" w:rsidR="008308A1" w:rsidRPr="008308A1" w:rsidRDefault="008308A1" w:rsidP="008308A1">
      <w:pPr>
        <w:rPr>
          <w:u w:val="single"/>
        </w:rPr>
      </w:pPr>
      <w:r w:rsidRPr="008308A1">
        <w:rPr>
          <w:u w:val="single"/>
        </w:rPr>
        <w:t>Assessment Methods</w:t>
      </w:r>
    </w:p>
    <w:p w14:paraId="59CDCC0A" w14:textId="77777777" w:rsidR="008308A1" w:rsidRDefault="008308A1" w:rsidP="008308A1">
      <w:pPr>
        <w:rPr>
          <w:i/>
          <w:iCs/>
        </w:rPr>
      </w:pPr>
    </w:p>
    <w:p w14:paraId="47198E6C" w14:textId="70B8B8FC" w:rsidR="008308A1" w:rsidRDefault="008308A1" w:rsidP="008308A1">
      <w:r w:rsidRPr="30934504">
        <w:t xml:space="preserve">Instructors used a 5-point scale rubric to assess how well their students met our Student Learning Outcomes by the end of the semester. This rubric was included </w:t>
      </w:r>
      <w:proofErr w:type="gramStart"/>
      <w:r w:rsidRPr="30934504">
        <w:t>on</w:t>
      </w:r>
      <w:proofErr w:type="gramEnd"/>
      <w:r w:rsidRPr="30934504">
        <w:t xml:space="preserve"> an ungraded Canvas assignment that instructors submitted at the end of the semester. On submitting this report, we also include a copy of this rubric. This rubric provides us with quantitative data on how well students met each SLO. All K-State First faculty were instructed to complete this assessment; in total, we work with ~</w:t>
      </w:r>
      <w:r>
        <w:t>80</w:t>
      </w:r>
      <w:r w:rsidRPr="30934504">
        <w:t xml:space="preserve"> faculty members. </w:t>
      </w:r>
    </w:p>
    <w:p w14:paraId="3A79A990" w14:textId="77777777" w:rsidR="008308A1" w:rsidRPr="008308A1" w:rsidRDefault="008308A1" w:rsidP="008308A1">
      <w:pPr>
        <w:ind w:left="720"/>
        <w:rPr>
          <w:u w:val="single"/>
        </w:rPr>
      </w:pPr>
    </w:p>
    <w:p w14:paraId="686ADB77" w14:textId="77777777" w:rsidR="008308A1" w:rsidRPr="008308A1" w:rsidRDefault="008308A1" w:rsidP="008308A1">
      <w:pPr>
        <w:rPr>
          <w:u w:val="single"/>
        </w:rPr>
      </w:pPr>
      <w:r w:rsidRPr="008308A1">
        <w:rPr>
          <w:u w:val="single"/>
        </w:rPr>
        <w:t>Assessment Period Measured</w:t>
      </w:r>
    </w:p>
    <w:p w14:paraId="6672627C" w14:textId="77777777" w:rsidR="008308A1" w:rsidRDefault="008308A1" w:rsidP="008308A1">
      <w:pPr>
        <w:rPr>
          <w:i/>
          <w:iCs/>
        </w:rPr>
      </w:pPr>
    </w:p>
    <w:p w14:paraId="4D390B5C" w14:textId="77777777" w:rsidR="008308A1" w:rsidRDefault="008308A1" w:rsidP="008308A1">
      <w:pPr>
        <w:rPr>
          <w:rFonts w:eastAsia="Times New Roman"/>
          <w:color w:val="000000" w:themeColor="text1"/>
          <w:szCs w:val="24"/>
        </w:rPr>
      </w:pPr>
      <w:r w:rsidRPr="30934504">
        <w:rPr>
          <w:rFonts w:eastAsia="Times New Roman"/>
          <w:color w:val="000000" w:themeColor="text1"/>
          <w:szCs w:val="24"/>
        </w:rPr>
        <w:t>We launched our 202</w:t>
      </w:r>
      <w:r>
        <w:rPr>
          <w:rFonts w:eastAsia="Times New Roman"/>
          <w:color w:val="000000" w:themeColor="text1"/>
          <w:szCs w:val="24"/>
        </w:rPr>
        <w:t xml:space="preserve">4 </w:t>
      </w:r>
      <w:r w:rsidRPr="30934504">
        <w:rPr>
          <w:rFonts w:eastAsia="Times New Roman"/>
          <w:color w:val="000000" w:themeColor="text1"/>
          <w:szCs w:val="24"/>
        </w:rPr>
        <w:t>assessment process with an instructor training in August. The K-State First office also sent multiple reminder emails to instructors and faculty during November and December. Instructors completed their assessments of student performance during the Fall 202</w:t>
      </w:r>
      <w:r>
        <w:rPr>
          <w:rFonts w:eastAsia="Times New Roman"/>
          <w:color w:val="000000" w:themeColor="text1"/>
          <w:szCs w:val="24"/>
        </w:rPr>
        <w:t>4</w:t>
      </w:r>
      <w:r w:rsidRPr="30934504">
        <w:rPr>
          <w:rFonts w:eastAsia="Times New Roman"/>
          <w:color w:val="000000" w:themeColor="text1"/>
          <w:szCs w:val="24"/>
        </w:rPr>
        <w:t xml:space="preserve"> semester and results were sent to K-State First after the semester concluded. </w:t>
      </w:r>
    </w:p>
    <w:p w14:paraId="207599DF" w14:textId="77777777" w:rsidR="008308A1" w:rsidRPr="00572563" w:rsidRDefault="008308A1" w:rsidP="008308A1">
      <w:pPr>
        <w:ind w:left="720"/>
      </w:pPr>
    </w:p>
    <w:p w14:paraId="5A9CC47F" w14:textId="77777777" w:rsidR="008308A1" w:rsidRPr="008308A1" w:rsidRDefault="008308A1" w:rsidP="008308A1">
      <w:pPr>
        <w:rPr>
          <w:u w:val="single"/>
        </w:rPr>
      </w:pPr>
      <w:r w:rsidRPr="008308A1">
        <w:rPr>
          <w:u w:val="single"/>
        </w:rPr>
        <w:t>Assessor(s)</w:t>
      </w:r>
    </w:p>
    <w:p w14:paraId="4B2B16BA" w14:textId="77777777" w:rsidR="008308A1" w:rsidRDefault="008308A1" w:rsidP="008308A1">
      <w:pPr>
        <w:rPr>
          <w:i/>
          <w:iCs/>
        </w:rPr>
      </w:pPr>
    </w:p>
    <w:p w14:paraId="4F13A833" w14:textId="77777777" w:rsidR="008308A1" w:rsidRDefault="008308A1" w:rsidP="008308A1">
      <w:r>
        <w:t xml:space="preserve">Brie Heidbreder. </w:t>
      </w:r>
    </w:p>
    <w:p w14:paraId="40288312" w14:textId="77777777" w:rsidR="008308A1" w:rsidRDefault="008308A1" w:rsidP="008308A1">
      <w:pPr>
        <w:ind w:left="720"/>
      </w:pPr>
    </w:p>
    <w:p w14:paraId="6D391B82" w14:textId="77777777" w:rsidR="008308A1" w:rsidRPr="008308A1" w:rsidRDefault="008308A1" w:rsidP="008308A1">
      <w:pPr>
        <w:rPr>
          <w:u w:val="single"/>
        </w:rPr>
      </w:pPr>
      <w:r w:rsidRPr="008308A1">
        <w:rPr>
          <w:u w:val="single"/>
        </w:rPr>
        <w:t>Assessment Data</w:t>
      </w:r>
    </w:p>
    <w:p w14:paraId="42E13F7D" w14:textId="77777777" w:rsidR="008308A1" w:rsidRDefault="008308A1" w:rsidP="008308A1">
      <w:pPr>
        <w:rPr>
          <w:i/>
          <w:iCs/>
        </w:rPr>
      </w:pPr>
    </w:p>
    <w:p w14:paraId="564D8297" w14:textId="6AC34275" w:rsidR="008308A1" w:rsidRDefault="008308A1" w:rsidP="008308A1">
      <w:r>
        <w:t xml:space="preserve">We collected feedback from all CAT Community and First-Year Seminar instructors on how well their students met Student Learning Outcomes. In </w:t>
      </w:r>
      <w:r w:rsidRPr="008308A1">
        <w:t xml:space="preserve">total </w:t>
      </w:r>
      <w:r w:rsidRPr="008308A1">
        <w:t>46</w:t>
      </w:r>
      <w:r w:rsidRPr="008308A1">
        <w:t>%</w:t>
      </w:r>
      <w:r>
        <w:t xml:space="preserve"> of K-State First faculty and instructors completed the SLO assessment. Instructors used </w:t>
      </w:r>
      <w:proofErr w:type="gramStart"/>
      <w:r>
        <w:t>a rubric</w:t>
      </w:r>
      <w:proofErr w:type="gramEnd"/>
      <w:r>
        <w:t xml:space="preserve"> on Canvas with a five-point scale to assess how well their students met each SLO. Our report includes </w:t>
      </w:r>
      <w:proofErr w:type="gramStart"/>
      <w:r>
        <w:t>the</w:t>
      </w:r>
      <w:proofErr w:type="gramEnd"/>
      <w:r>
        <w:t xml:space="preserve"> assessment of 764 students.</w:t>
      </w:r>
    </w:p>
    <w:p w14:paraId="7697AF12" w14:textId="77777777" w:rsidR="008308A1" w:rsidRDefault="008308A1" w:rsidP="008308A1">
      <w:pPr>
        <w:ind w:left="720"/>
      </w:pPr>
    </w:p>
    <w:p w14:paraId="34244C09" w14:textId="77777777" w:rsidR="008308A1" w:rsidRPr="008308A1" w:rsidRDefault="008308A1" w:rsidP="008308A1">
      <w:pPr>
        <w:rPr>
          <w:u w:val="single"/>
        </w:rPr>
      </w:pPr>
      <w:r w:rsidRPr="008308A1">
        <w:rPr>
          <w:u w:val="single"/>
        </w:rPr>
        <w:t>Assessment Analysis</w:t>
      </w:r>
    </w:p>
    <w:p w14:paraId="6F85D0E7" w14:textId="77777777" w:rsidR="008308A1" w:rsidRDefault="008308A1" w:rsidP="008308A1"/>
    <w:p w14:paraId="7BAC33BD" w14:textId="77777777" w:rsidR="008308A1" w:rsidRDefault="008308A1" w:rsidP="008308A1">
      <w:r>
        <w:t>The SLO assessment data, found in Table 2, tracks the performance of students across various learning outcomes over three fall semesters: 2022, 2023, and 2024. Each cell indicates the percentage of students demonstrating mastery at the 3+ level on a 5-point Likert scale.</w:t>
      </w:r>
    </w:p>
    <w:p w14:paraId="1849C363" w14:textId="77777777" w:rsidR="008308A1" w:rsidRDefault="008308A1" w:rsidP="008308A1"/>
    <w:p w14:paraId="60D96BD4" w14:textId="77777777" w:rsidR="008308A1" w:rsidRDefault="008308A1" w:rsidP="008308A1">
      <w:r>
        <w:t>Overall, the data suggests a positive trend in student performance across the assessed learning outcomes, demonstrating consistent high performance in applying learning, building community, effective communication, and critical thinking skills.</w:t>
      </w:r>
    </w:p>
    <w:p w14:paraId="100A8D11" w14:textId="77777777" w:rsidR="008308A1" w:rsidRDefault="008308A1" w:rsidP="008308A1">
      <w:pPr>
        <w:rPr>
          <w:b/>
          <w:bCs/>
        </w:rPr>
      </w:pPr>
    </w:p>
    <w:p w14:paraId="7FD291F9" w14:textId="77777777" w:rsidR="008308A1" w:rsidRDefault="008308A1" w:rsidP="008308A1">
      <w:pPr>
        <w:jc w:val="center"/>
        <w:rPr>
          <w:b/>
          <w:bCs/>
        </w:rPr>
      </w:pPr>
      <w:r w:rsidRPr="30934504">
        <w:rPr>
          <w:b/>
          <w:bCs/>
        </w:rPr>
        <w:t>Table 2: Student Learning Outcome Assessment</w:t>
      </w:r>
    </w:p>
    <w:tbl>
      <w:tblPr>
        <w:tblStyle w:val="TableGrid"/>
        <w:tblW w:w="9792" w:type="dxa"/>
        <w:tblInd w:w="72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80"/>
        <w:gridCol w:w="2304"/>
        <w:gridCol w:w="2304"/>
        <w:gridCol w:w="2304"/>
      </w:tblGrid>
      <w:tr w:rsidR="008308A1" w14:paraId="435C61BB" w14:textId="77777777" w:rsidTr="00B112EE">
        <w:trPr>
          <w:trHeight w:val="300"/>
        </w:trPr>
        <w:tc>
          <w:tcPr>
            <w:tcW w:w="2880" w:type="dxa"/>
            <w:tcMar>
              <w:left w:w="105" w:type="dxa"/>
              <w:right w:w="105" w:type="dxa"/>
            </w:tcMar>
          </w:tcPr>
          <w:p w14:paraId="4C3704A1" w14:textId="77777777" w:rsidR="008308A1" w:rsidRDefault="008308A1" w:rsidP="00B112EE">
            <w:pPr>
              <w:rPr>
                <w:rFonts w:eastAsia="Times New Roman"/>
                <w:szCs w:val="24"/>
              </w:rPr>
            </w:pPr>
          </w:p>
        </w:tc>
        <w:tc>
          <w:tcPr>
            <w:tcW w:w="2304" w:type="dxa"/>
          </w:tcPr>
          <w:p w14:paraId="75B96209" w14:textId="77777777" w:rsidR="008308A1" w:rsidRPr="30934504" w:rsidRDefault="008308A1" w:rsidP="00B112EE">
            <w:pPr>
              <w:rPr>
                <w:rFonts w:eastAsia="Times New Roman"/>
                <w:b/>
                <w:bCs/>
                <w:szCs w:val="24"/>
              </w:rPr>
            </w:pPr>
            <w:r w:rsidRPr="30934504">
              <w:rPr>
                <w:rFonts w:eastAsia="Times New Roman"/>
                <w:b/>
                <w:bCs/>
                <w:szCs w:val="24"/>
              </w:rPr>
              <w:t>Fall 2022</w:t>
            </w:r>
          </w:p>
        </w:tc>
        <w:tc>
          <w:tcPr>
            <w:tcW w:w="2304" w:type="dxa"/>
          </w:tcPr>
          <w:p w14:paraId="63F2F365" w14:textId="77777777" w:rsidR="008308A1" w:rsidRPr="30934504" w:rsidRDefault="008308A1" w:rsidP="00B112EE">
            <w:pPr>
              <w:rPr>
                <w:rFonts w:eastAsia="Times New Roman"/>
                <w:b/>
                <w:bCs/>
                <w:szCs w:val="24"/>
              </w:rPr>
            </w:pPr>
            <w:r w:rsidRPr="30934504">
              <w:rPr>
                <w:rFonts w:eastAsia="Times New Roman"/>
                <w:b/>
                <w:bCs/>
                <w:szCs w:val="24"/>
              </w:rPr>
              <w:t>Fall 2023</w:t>
            </w:r>
          </w:p>
        </w:tc>
        <w:tc>
          <w:tcPr>
            <w:tcW w:w="2304" w:type="dxa"/>
            <w:tcMar>
              <w:left w:w="105" w:type="dxa"/>
              <w:right w:w="105" w:type="dxa"/>
            </w:tcMar>
          </w:tcPr>
          <w:p w14:paraId="7A705AE8" w14:textId="77777777" w:rsidR="008308A1" w:rsidRDefault="008308A1" w:rsidP="00B112EE">
            <w:pPr>
              <w:rPr>
                <w:rFonts w:eastAsia="Times New Roman"/>
                <w:b/>
                <w:bCs/>
                <w:szCs w:val="24"/>
              </w:rPr>
            </w:pPr>
            <w:r w:rsidRPr="30934504">
              <w:rPr>
                <w:rFonts w:eastAsia="Times New Roman"/>
                <w:b/>
                <w:bCs/>
                <w:szCs w:val="24"/>
              </w:rPr>
              <w:t>Fall 202</w:t>
            </w:r>
            <w:r>
              <w:rPr>
                <w:rFonts w:eastAsia="Times New Roman"/>
                <w:b/>
                <w:bCs/>
                <w:szCs w:val="24"/>
              </w:rPr>
              <w:t>4</w:t>
            </w:r>
          </w:p>
        </w:tc>
      </w:tr>
      <w:tr w:rsidR="008308A1" w14:paraId="5BDEDF53" w14:textId="77777777" w:rsidTr="00B112EE">
        <w:trPr>
          <w:trHeight w:val="300"/>
        </w:trPr>
        <w:tc>
          <w:tcPr>
            <w:tcW w:w="2880" w:type="dxa"/>
            <w:tcMar>
              <w:left w:w="105" w:type="dxa"/>
              <w:right w:w="105" w:type="dxa"/>
            </w:tcMar>
          </w:tcPr>
          <w:p w14:paraId="4A1E08B1" w14:textId="77777777" w:rsidR="008308A1" w:rsidRDefault="008308A1" w:rsidP="00B112EE">
            <w:pPr>
              <w:rPr>
                <w:rFonts w:eastAsia="Times New Roman"/>
                <w:b/>
                <w:bCs/>
                <w:szCs w:val="24"/>
              </w:rPr>
            </w:pPr>
            <w:r w:rsidRPr="30934504">
              <w:rPr>
                <w:rFonts w:eastAsia="Times New Roman"/>
                <w:b/>
                <w:bCs/>
                <w:szCs w:val="24"/>
              </w:rPr>
              <w:t>Apply learning</w:t>
            </w:r>
          </w:p>
        </w:tc>
        <w:tc>
          <w:tcPr>
            <w:tcW w:w="2304" w:type="dxa"/>
          </w:tcPr>
          <w:p w14:paraId="7D404C42" w14:textId="77777777" w:rsidR="008308A1" w:rsidRPr="30934504" w:rsidRDefault="008308A1" w:rsidP="00B112EE">
            <w:pPr>
              <w:rPr>
                <w:rFonts w:eastAsia="Times New Roman"/>
                <w:szCs w:val="24"/>
              </w:rPr>
            </w:pPr>
            <w:r w:rsidRPr="30934504">
              <w:rPr>
                <w:rFonts w:eastAsia="Times New Roman"/>
                <w:szCs w:val="24"/>
              </w:rPr>
              <w:t>96%</w:t>
            </w:r>
          </w:p>
        </w:tc>
        <w:tc>
          <w:tcPr>
            <w:tcW w:w="2304" w:type="dxa"/>
          </w:tcPr>
          <w:p w14:paraId="26BA77A4" w14:textId="77777777" w:rsidR="008308A1" w:rsidRPr="30934504" w:rsidRDefault="008308A1" w:rsidP="00B112EE">
            <w:pPr>
              <w:rPr>
                <w:rFonts w:eastAsia="Times New Roman"/>
                <w:szCs w:val="24"/>
              </w:rPr>
            </w:pPr>
            <w:r w:rsidRPr="30934504">
              <w:rPr>
                <w:rFonts w:eastAsia="Times New Roman"/>
                <w:szCs w:val="24"/>
              </w:rPr>
              <w:t>95%</w:t>
            </w:r>
          </w:p>
        </w:tc>
        <w:tc>
          <w:tcPr>
            <w:tcW w:w="2304" w:type="dxa"/>
            <w:tcMar>
              <w:left w:w="105" w:type="dxa"/>
              <w:right w:w="105" w:type="dxa"/>
            </w:tcMar>
          </w:tcPr>
          <w:p w14:paraId="5A8C8533" w14:textId="77777777" w:rsidR="008308A1" w:rsidRDefault="008308A1" w:rsidP="00B112EE">
            <w:pPr>
              <w:rPr>
                <w:rFonts w:eastAsia="Times New Roman"/>
                <w:szCs w:val="24"/>
              </w:rPr>
            </w:pPr>
            <w:r w:rsidRPr="30934504">
              <w:rPr>
                <w:rFonts w:eastAsia="Times New Roman"/>
                <w:szCs w:val="24"/>
              </w:rPr>
              <w:t>9</w:t>
            </w:r>
            <w:r>
              <w:rPr>
                <w:rFonts w:eastAsia="Times New Roman"/>
                <w:szCs w:val="24"/>
              </w:rPr>
              <w:t>1</w:t>
            </w:r>
            <w:r w:rsidRPr="30934504">
              <w:rPr>
                <w:rFonts w:eastAsia="Times New Roman"/>
                <w:szCs w:val="24"/>
              </w:rPr>
              <w:t>%</w:t>
            </w:r>
          </w:p>
        </w:tc>
      </w:tr>
      <w:tr w:rsidR="008308A1" w14:paraId="17E4A21A" w14:textId="77777777" w:rsidTr="00B112EE">
        <w:trPr>
          <w:trHeight w:val="300"/>
        </w:trPr>
        <w:tc>
          <w:tcPr>
            <w:tcW w:w="2880" w:type="dxa"/>
            <w:tcMar>
              <w:left w:w="105" w:type="dxa"/>
              <w:right w:w="105" w:type="dxa"/>
            </w:tcMar>
          </w:tcPr>
          <w:p w14:paraId="102A5F47" w14:textId="77777777" w:rsidR="008308A1" w:rsidRDefault="008308A1" w:rsidP="00B112EE">
            <w:pPr>
              <w:rPr>
                <w:rFonts w:eastAsia="Times New Roman"/>
                <w:b/>
                <w:bCs/>
                <w:szCs w:val="24"/>
              </w:rPr>
            </w:pPr>
            <w:r w:rsidRPr="30934504">
              <w:rPr>
                <w:rFonts w:eastAsia="Times New Roman"/>
                <w:b/>
                <w:bCs/>
                <w:szCs w:val="24"/>
              </w:rPr>
              <w:t>Build community</w:t>
            </w:r>
          </w:p>
        </w:tc>
        <w:tc>
          <w:tcPr>
            <w:tcW w:w="2304" w:type="dxa"/>
          </w:tcPr>
          <w:p w14:paraId="4495DE64" w14:textId="77777777" w:rsidR="008308A1" w:rsidRPr="30934504" w:rsidRDefault="008308A1" w:rsidP="00B112EE">
            <w:pPr>
              <w:rPr>
                <w:rFonts w:eastAsia="Times New Roman"/>
                <w:szCs w:val="24"/>
              </w:rPr>
            </w:pPr>
            <w:r w:rsidRPr="30934504">
              <w:rPr>
                <w:rFonts w:eastAsia="Times New Roman"/>
                <w:szCs w:val="24"/>
              </w:rPr>
              <w:t>98%</w:t>
            </w:r>
          </w:p>
        </w:tc>
        <w:tc>
          <w:tcPr>
            <w:tcW w:w="2304" w:type="dxa"/>
          </w:tcPr>
          <w:p w14:paraId="448173A0" w14:textId="77777777" w:rsidR="008308A1" w:rsidRPr="30934504" w:rsidRDefault="008308A1" w:rsidP="00B112EE">
            <w:pPr>
              <w:rPr>
                <w:rFonts w:eastAsia="Times New Roman"/>
                <w:szCs w:val="24"/>
              </w:rPr>
            </w:pPr>
            <w:r w:rsidRPr="30934504">
              <w:rPr>
                <w:rFonts w:eastAsia="Times New Roman"/>
                <w:szCs w:val="24"/>
              </w:rPr>
              <w:t>93%</w:t>
            </w:r>
          </w:p>
        </w:tc>
        <w:tc>
          <w:tcPr>
            <w:tcW w:w="2304" w:type="dxa"/>
            <w:tcMar>
              <w:left w:w="105" w:type="dxa"/>
              <w:right w:w="105" w:type="dxa"/>
            </w:tcMar>
          </w:tcPr>
          <w:p w14:paraId="353D9E09" w14:textId="77777777" w:rsidR="008308A1" w:rsidRDefault="008308A1" w:rsidP="00B112EE">
            <w:pPr>
              <w:rPr>
                <w:rFonts w:eastAsia="Times New Roman"/>
                <w:szCs w:val="24"/>
              </w:rPr>
            </w:pPr>
            <w:r w:rsidRPr="30934504">
              <w:rPr>
                <w:rFonts w:eastAsia="Times New Roman"/>
                <w:szCs w:val="24"/>
              </w:rPr>
              <w:t>9</w:t>
            </w:r>
            <w:r>
              <w:rPr>
                <w:rFonts w:eastAsia="Times New Roman"/>
                <w:szCs w:val="24"/>
              </w:rPr>
              <w:t>3</w:t>
            </w:r>
            <w:r w:rsidRPr="30934504">
              <w:rPr>
                <w:rFonts w:eastAsia="Times New Roman"/>
                <w:szCs w:val="24"/>
              </w:rPr>
              <w:t>%</w:t>
            </w:r>
          </w:p>
        </w:tc>
      </w:tr>
      <w:tr w:rsidR="008308A1" w14:paraId="7965A0C5" w14:textId="77777777" w:rsidTr="00B112EE">
        <w:trPr>
          <w:trHeight w:val="300"/>
        </w:trPr>
        <w:tc>
          <w:tcPr>
            <w:tcW w:w="2880" w:type="dxa"/>
            <w:tcMar>
              <w:left w:w="105" w:type="dxa"/>
              <w:right w:w="105" w:type="dxa"/>
            </w:tcMar>
          </w:tcPr>
          <w:p w14:paraId="392B8953" w14:textId="77777777" w:rsidR="008308A1" w:rsidRDefault="008308A1" w:rsidP="00B112EE">
            <w:pPr>
              <w:rPr>
                <w:rFonts w:eastAsia="Times New Roman"/>
                <w:b/>
                <w:bCs/>
                <w:szCs w:val="24"/>
              </w:rPr>
            </w:pPr>
            <w:r w:rsidRPr="30934504">
              <w:rPr>
                <w:rFonts w:eastAsia="Times New Roman"/>
                <w:b/>
                <w:bCs/>
                <w:szCs w:val="24"/>
              </w:rPr>
              <w:t>Communicate effectively</w:t>
            </w:r>
          </w:p>
        </w:tc>
        <w:tc>
          <w:tcPr>
            <w:tcW w:w="2304" w:type="dxa"/>
          </w:tcPr>
          <w:p w14:paraId="564012BD" w14:textId="77777777" w:rsidR="008308A1" w:rsidRPr="30934504" w:rsidRDefault="008308A1" w:rsidP="00B112EE">
            <w:pPr>
              <w:rPr>
                <w:rFonts w:eastAsia="Times New Roman"/>
                <w:szCs w:val="24"/>
              </w:rPr>
            </w:pPr>
            <w:r w:rsidRPr="30934504">
              <w:rPr>
                <w:rFonts w:eastAsia="Times New Roman"/>
                <w:szCs w:val="24"/>
              </w:rPr>
              <w:t>95%</w:t>
            </w:r>
          </w:p>
        </w:tc>
        <w:tc>
          <w:tcPr>
            <w:tcW w:w="2304" w:type="dxa"/>
          </w:tcPr>
          <w:p w14:paraId="731BB17A" w14:textId="77777777" w:rsidR="008308A1" w:rsidRPr="30934504" w:rsidRDefault="008308A1" w:rsidP="00B112EE">
            <w:pPr>
              <w:rPr>
                <w:rFonts w:eastAsia="Times New Roman"/>
                <w:szCs w:val="24"/>
              </w:rPr>
            </w:pPr>
            <w:r w:rsidRPr="30934504">
              <w:rPr>
                <w:rFonts w:eastAsia="Times New Roman"/>
                <w:szCs w:val="24"/>
              </w:rPr>
              <w:t>93%</w:t>
            </w:r>
          </w:p>
        </w:tc>
        <w:tc>
          <w:tcPr>
            <w:tcW w:w="2304" w:type="dxa"/>
            <w:tcMar>
              <w:left w:w="105" w:type="dxa"/>
              <w:right w:w="105" w:type="dxa"/>
            </w:tcMar>
          </w:tcPr>
          <w:p w14:paraId="087486D7" w14:textId="77777777" w:rsidR="008308A1" w:rsidRDefault="008308A1" w:rsidP="00B112EE">
            <w:pPr>
              <w:rPr>
                <w:rFonts w:eastAsia="Times New Roman"/>
                <w:szCs w:val="24"/>
              </w:rPr>
            </w:pPr>
            <w:r w:rsidRPr="30934504">
              <w:rPr>
                <w:rFonts w:eastAsia="Times New Roman"/>
                <w:szCs w:val="24"/>
              </w:rPr>
              <w:t>9</w:t>
            </w:r>
            <w:r>
              <w:rPr>
                <w:rFonts w:eastAsia="Times New Roman"/>
                <w:szCs w:val="24"/>
              </w:rPr>
              <w:t>2</w:t>
            </w:r>
            <w:r w:rsidRPr="30934504">
              <w:rPr>
                <w:rFonts w:eastAsia="Times New Roman"/>
                <w:szCs w:val="24"/>
              </w:rPr>
              <w:t>%</w:t>
            </w:r>
          </w:p>
        </w:tc>
      </w:tr>
      <w:tr w:rsidR="008308A1" w14:paraId="426C5E60" w14:textId="77777777" w:rsidTr="00B112EE">
        <w:trPr>
          <w:trHeight w:val="300"/>
        </w:trPr>
        <w:tc>
          <w:tcPr>
            <w:tcW w:w="2880" w:type="dxa"/>
            <w:tcMar>
              <w:left w:w="105" w:type="dxa"/>
              <w:right w:w="105" w:type="dxa"/>
            </w:tcMar>
          </w:tcPr>
          <w:p w14:paraId="4AD5AE63" w14:textId="77777777" w:rsidR="008308A1" w:rsidRDefault="008308A1" w:rsidP="00B112EE">
            <w:pPr>
              <w:rPr>
                <w:rFonts w:eastAsia="Times New Roman"/>
                <w:b/>
                <w:bCs/>
                <w:szCs w:val="24"/>
              </w:rPr>
            </w:pPr>
            <w:r w:rsidRPr="30934504">
              <w:rPr>
                <w:rFonts w:eastAsia="Times New Roman"/>
                <w:b/>
                <w:bCs/>
                <w:szCs w:val="24"/>
              </w:rPr>
              <w:t>Think critically (CAT)</w:t>
            </w:r>
          </w:p>
        </w:tc>
        <w:tc>
          <w:tcPr>
            <w:tcW w:w="2304" w:type="dxa"/>
          </w:tcPr>
          <w:p w14:paraId="028FD985" w14:textId="77777777" w:rsidR="008308A1" w:rsidRPr="30934504" w:rsidRDefault="008308A1" w:rsidP="00B112EE">
            <w:pPr>
              <w:rPr>
                <w:rFonts w:eastAsia="Times New Roman"/>
                <w:szCs w:val="24"/>
              </w:rPr>
            </w:pPr>
            <w:r w:rsidRPr="30934504">
              <w:rPr>
                <w:rFonts w:eastAsia="Times New Roman"/>
                <w:szCs w:val="24"/>
              </w:rPr>
              <w:t>98%</w:t>
            </w:r>
          </w:p>
        </w:tc>
        <w:tc>
          <w:tcPr>
            <w:tcW w:w="2304" w:type="dxa"/>
          </w:tcPr>
          <w:p w14:paraId="639876B7" w14:textId="77777777" w:rsidR="008308A1" w:rsidRPr="30934504" w:rsidRDefault="008308A1" w:rsidP="00B112EE">
            <w:pPr>
              <w:rPr>
                <w:rFonts w:eastAsia="Times New Roman"/>
                <w:szCs w:val="24"/>
              </w:rPr>
            </w:pPr>
            <w:r w:rsidRPr="30934504">
              <w:rPr>
                <w:rFonts w:eastAsia="Times New Roman"/>
                <w:szCs w:val="24"/>
              </w:rPr>
              <w:t>96%</w:t>
            </w:r>
          </w:p>
        </w:tc>
        <w:tc>
          <w:tcPr>
            <w:tcW w:w="2304" w:type="dxa"/>
            <w:tcMar>
              <w:left w:w="105" w:type="dxa"/>
              <w:right w:w="105" w:type="dxa"/>
            </w:tcMar>
          </w:tcPr>
          <w:p w14:paraId="6B0F3B8C" w14:textId="77777777" w:rsidR="008308A1" w:rsidRDefault="008308A1" w:rsidP="00B112EE">
            <w:pPr>
              <w:rPr>
                <w:rFonts w:eastAsia="Times New Roman"/>
                <w:szCs w:val="24"/>
              </w:rPr>
            </w:pPr>
            <w:r w:rsidRPr="30934504">
              <w:rPr>
                <w:rFonts w:eastAsia="Times New Roman"/>
                <w:szCs w:val="24"/>
              </w:rPr>
              <w:t>9</w:t>
            </w:r>
            <w:r>
              <w:rPr>
                <w:rFonts w:eastAsia="Times New Roman"/>
                <w:szCs w:val="24"/>
              </w:rPr>
              <w:t>1</w:t>
            </w:r>
            <w:r w:rsidRPr="30934504">
              <w:rPr>
                <w:rFonts w:eastAsia="Times New Roman"/>
                <w:szCs w:val="24"/>
              </w:rPr>
              <w:t>%</w:t>
            </w:r>
          </w:p>
        </w:tc>
      </w:tr>
      <w:tr w:rsidR="008308A1" w14:paraId="08CDF7C9" w14:textId="77777777" w:rsidTr="00B112EE">
        <w:trPr>
          <w:trHeight w:val="300"/>
        </w:trPr>
        <w:tc>
          <w:tcPr>
            <w:tcW w:w="2880" w:type="dxa"/>
            <w:tcMar>
              <w:left w:w="105" w:type="dxa"/>
              <w:right w:w="105" w:type="dxa"/>
            </w:tcMar>
          </w:tcPr>
          <w:p w14:paraId="526D4DBC" w14:textId="77777777" w:rsidR="008308A1" w:rsidRDefault="008308A1" w:rsidP="00B112EE">
            <w:pPr>
              <w:rPr>
                <w:rFonts w:eastAsia="Times New Roman"/>
                <w:b/>
                <w:bCs/>
                <w:szCs w:val="24"/>
              </w:rPr>
            </w:pPr>
            <w:r w:rsidRPr="30934504">
              <w:rPr>
                <w:rFonts w:eastAsia="Times New Roman"/>
                <w:b/>
                <w:bCs/>
                <w:szCs w:val="24"/>
              </w:rPr>
              <w:t>Think critically (FYS)</w:t>
            </w:r>
          </w:p>
        </w:tc>
        <w:tc>
          <w:tcPr>
            <w:tcW w:w="2304" w:type="dxa"/>
          </w:tcPr>
          <w:p w14:paraId="464BFC5D" w14:textId="77777777" w:rsidR="008308A1" w:rsidRPr="30934504" w:rsidRDefault="008308A1" w:rsidP="00B112EE">
            <w:pPr>
              <w:rPr>
                <w:rFonts w:eastAsia="Times New Roman"/>
                <w:szCs w:val="24"/>
              </w:rPr>
            </w:pPr>
            <w:r w:rsidRPr="30934504">
              <w:rPr>
                <w:rFonts w:eastAsia="Times New Roman"/>
                <w:szCs w:val="24"/>
              </w:rPr>
              <w:t>91%</w:t>
            </w:r>
          </w:p>
        </w:tc>
        <w:tc>
          <w:tcPr>
            <w:tcW w:w="2304" w:type="dxa"/>
          </w:tcPr>
          <w:p w14:paraId="6C1D582B" w14:textId="77777777" w:rsidR="008308A1" w:rsidRPr="30934504" w:rsidRDefault="008308A1" w:rsidP="00B112EE">
            <w:pPr>
              <w:rPr>
                <w:rFonts w:eastAsia="Times New Roman"/>
                <w:szCs w:val="24"/>
              </w:rPr>
            </w:pPr>
            <w:r w:rsidRPr="30934504">
              <w:rPr>
                <w:rFonts w:eastAsia="Times New Roman"/>
                <w:szCs w:val="24"/>
              </w:rPr>
              <w:t>93%</w:t>
            </w:r>
          </w:p>
        </w:tc>
        <w:tc>
          <w:tcPr>
            <w:tcW w:w="2304" w:type="dxa"/>
            <w:tcMar>
              <w:left w:w="105" w:type="dxa"/>
              <w:right w:w="105" w:type="dxa"/>
            </w:tcMar>
          </w:tcPr>
          <w:p w14:paraId="3CCC6866" w14:textId="77777777" w:rsidR="008308A1" w:rsidRDefault="008308A1" w:rsidP="00B112EE">
            <w:pPr>
              <w:rPr>
                <w:rFonts w:eastAsia="Times New Roman"/>
                <w:szCs w:val="24"/>
              </w:rPr>
            </w:pPr>
            <w:r>
              <w:rPr>
                <w:rFonts w:eastAsia="Times New Roman"/>
                <w:szCs w:val="24"/>
              </w:rPr>
              <w:t>90</w:t>
            </w:r>
            <w:r w:rsidRPr="30934504">
              <w:rPr>
                <w:rFonts w:eastAsia="Times New Roman"/>
                <w:szCs w:val="24"/>
              </w:rPr>
              <w:t>%</w:t>
            </w:r>
          </w:p>
        </w:tc>
      </w:tr>
    </w:tbl>
    <w:p w14:paraId="60A78E9E" w14:textId="77777777" w:rsidR="008308A1" w:rsidRDefault="008308A1" w:rsidP="008308A1">
      <w:pPr>
        <w:rPr>
          <w:rFonts w:eastAsia="Times New Roman"/>
          <w:color w:val="000000" w:themeColor="text1"/>
          <w:szCs w:val="24"/>
          <w:highlight w:val="yellow"/>
        </w:rPr>
      </w:pPr>
    </w:p>
    <w:p w14:paraId="171730DF" w14:textId="77777777" w:rsidR="008308A1" w:rsidRPr="006F6A1C" w:rsidRDefault="008308A1" w:rsidP="008308A1">
      <w:pPr>
        <w:rPr>
          <w:rFonts w:eastAsia="Times New Roman"/>
          <w:color w:val="000000" w:themeColor="text1"/>
          <w:szCs w:val="24"/>
        </w:rPr>
      </w:pPr>
      <w:r w:rsidRPr="006F6A1C">
        <w:rPr>
          <w:rFonts w:eastAsia="Times New Roman"/>
          <w:color w:val="000000" w:themeColor="text1"/>
          <w:szCs w:val="24"/>
        </w:rPr>
        <w:t>The student learning outcome (SLO) assessment data from Fall 2022 to Fall 2024 indicates a generally strong performance across all measured areas, with some slight declines over time.</w:t>
      </w:r>
    </w:p>
    <w:p w14:paraId="6FBA9CF2" w14:textId="77777777" w:rsidR="008308A1" w:rsidRPr="006F6A1C" w:rsidRDefault="008308A1" w:rsidP="008308A1">
      <w:pPr>
        <w:ind w:left="720"/>
        <w:rPr>
          <w:rFonts w:eastAsia="Times New Roman"/>
          <w:color w:val="000000" w:themeColor="text1"/>
          <w:szCs w:val="24"/>
        </w:rPr>
      </w:pPr>
    </w:p>
    <w:p w14:paraId="6523EA1F" w14:textId="77777777" w:rsidR="008308A1" w:rsidRPr="006F6A1C" w:rsidRDefault="008308A1" w:rsidP="008308A1">
      <w:pPr>
        <w:rPr>
          <w:rFonts w:eastAsia="Times New Roman"/>
          <w:color w:val="000000" w:themeColor="text1"/>
          <w:szCs w:val="24"/>
        </w:rPr>
      </w:pPr>
      <w:r w:rsidRPr="006F6A1C">
        <w:rPr>
          <w:rFonts w:eastAsia="Times New Roman"/>
          <w:color w:val="000000" w:themeColor="text1"/>
          <w:szCs w:val="24"/>
        </w:rPr>
        <w:t xml:space="preserve">Students consistently demonstrated high levels of mastery in applying learning, building community, communicating effectively, and thinking critically, though there is a downward trend in some categories. The percentage of students achieving mastery in applying learning declined from 96% in Fall 2022 to 91% in Fall 2024. Similarly, </w:t>
      </w:r>
      <w:proofErr w:type="gramStart"/>
      <w:r w:rsidRPr="006F6A1C">
        <w:rPr>
          <w:rFonts w:eastAsia="Times New Roman"/>
          <w:color w:val="000000" w:themeColor="text1"/>
          <w:szCs w:val="24"/>
        </w:rPr>
        <w:t>building</w:t>
      </w:r>
      <w:proofErr w:type="gramEnd"/>
      <w:r w:rsidRPr="006F6A1C">
        <w:rPr>
          <w:rFonts w:eastAsia="Times New Roman"/>
          <w:color w:val="000000" w:themeColor="text1"/>
          <w:szCs w:val="24"/>
        </w:rPr>
        <w:t xml:space="preserve"> community saw a decrease from 98% in Fall 2022 to 93% in Fall 2023, maintaining that level in Fall 2024. Communicating effectively followed a similar pattern, dropping from 95% in Fall 2022 to 92% in Fall 2024.</w:t>
      </w:r>
    </w:p>
    <w:p w14:paraId="2DD98AFE" w14:textId="77777777" w:rsidR="008308A1" w:rsidRPr="006F6A1C" w:rsidRDefault="008308A1" w:rsidP="008308A1">
      <w:pPr>
        <w:ind w:left="720"/>
        <w:rPr>
          <w:rFonts w:eastAsia="Times New Roman"/>
          <w:color w:val="000000" w:themeColor="text1"/>
          <w:szCs w:val="24"/>
        </w:rPr>
      </w:pPr>
    </w:p>
    <w:p w14:paraId="0DB6030D" w14:textId="77777777" w:rsidR="008308A1" w:rsidRPr="006F6A1C" w:rsidRDefault="008308A1" w:rsidP="008308A1">
      <w:pPr>
        <w:rPr>
          <w:rFonts w:eastAsia="Times New Roman"/>
          <w:color w:val="000000" w:themeColor="text1"/>
          <w:szCs w:val="24"/>
        </w:rPr>
      </w:pPr>
      <w:r w:rsidRPr="006F6A1C">
        <w:rPr>
          <w:rFonts w:eastAsia="Times New Roman"/>
          <w:color w:val="000000" w:themeColor="text1"/>
          <w:szCs w:val="24"/>
        </w:rPr>
        <w:t>Critical thinking skills, assessed in two areas—CAT (Critical Thinking Assessment Test) and FYS (First-Year Seminar)—also showed slight declines. The CAT measure of critical thinking started at 98% in Fall 2022, decreased to 96% in Fall 2023, and then fell further to 91% in Fall 2024. Meanwhile, the FYS measure remained relatively stable, fluctuating slightly between 91% and 93%.</w:t>
      </w:r>
    </w:p>
    <w:p w14:paraId="1A9FB5DC" w14:textId="77777777" w:rsidR="008308A1" w:rsidRPr="006F6A1C" w:rsidRDefault="008308A1" w:rsidP="008308A1">
      <w:pPr>
        <w:ind w:left="720"/>
        <w:rPr>
          <w:rFonts w:eastAsia="Times New Roman"/>
          <w:color w:val="000000" w:themeColor="text1"/>
          <w:szCs w:val="24"/>
        </w:rPr>
      </w:pPr>
    </w:p>
    <w:p w14:paraId="7C106BDF" w14:textId="77777777" w:rsidR="008308A1" w:rsidRDefault="008308A1" w:rsidP="008308A1">
      <w:pPr>
        <w:rPr>
          <w:rFonts w:eastAsia="Times New Roman"/>
          <w:color w:val="000000" w:themeColor="text1"/>
          <w:szCs w:val="24"/>
        </w:rPr>
      </w:pPr>
      <w:r w:rsidRPr="006F6A1C">
        <w:rPr>
          <w:rFonts w:eastAsia="Times New Roman"/>
          <w:color w:val="000000" w:themeColor="text1"/>
          <w:szCs w:val="24"/>
        </w:rPr>
        <w:t>While the overall results remain strong, the downward trends suggest potential areas for further investigation and intervention. Exploring instructional strategies, student engagement approaches, or external factors influencing these trends could help ensure continued success in student learning outcomes.</w:t>
      </w:r>
    </w:p>
    <w:p w14:paraId="004B349F" w14:textId="77777777" w:rsidR="00CB1AF1" w:rsidRPr="00B917C2" w:rsidRDefault="00CB1AF1" w:rsidP="008308A1">
      <w:pPr>
        <w:rPr>
          <w:rFonts w:asciiTheme="minorHAnsi" w:hAnsiTheme="minorHAnsi" w:cstheme="minorBidi"/>
          <w:color w:val="000000" w:themeColor="text1"/>
        </w:rPr>
      </w:pPr>
    </w:p>
    <w:p w14:paraId="4E35A4CD" w14:textId="3F44EDBC" w:rsidR="0996CAEE" w:rsidRDefault="0996CAEE" w:rsidP="0996CAEE">
      <w:pPr>
        <w:ind w:left="720"/>
        <w:rPr>
          <w:rFonts w:asciiTheme="minorHAnsi" w:hAnsiTheme="minorHAnsi" w:cstheme="minorBidi"/>
          <w:color w:val="000000" w:themeColor="text1"/>
        </w:rPr>
      </w:pPr>
    </w:p>
    <w:p w14:paraId="38BB0C33" w14:textId="77777777" w:rsidR="00A22D72" w:rsidRPr="00B917C2" w:rsidRDefault="00A22D72" w:rsidP="00A22D72">
      <w:pPr>
        <w:rPr>
          <w:rFonts w:asciiTheme="minorHAnsi" w:hAnsiTheme="minorHAnsi" w:cstheme="minorHAnsi"/>
          <w:b/>
          <w:color w:val="000000" w:themeColor="text1"/>
        </w:rPr>
      </w:pPr>
      <w:r w:rsidRPr="00B917C2">
        <w:rPr>
          <w:rFonts w:asciiTheme="minorHAnsi" w:hAnsiTheme="minorHAnsi" w:cstheme="minorHAnsi"/>
          <w:b/>
          <w:color w:val="000000" w:themeColor="text1"/>
        </w:rPr>
        <w:t>Executive Summary</w:t>
      </w:r>
    </w:p>
    <w:p w14:paraId="2D9D628E" w14:textId="77777777" w:rsidR="00A22D72" w:rsidRDefault="00A22D72" w:rsidP="00A22D72">
      <w:pPr>
        <w:spacing w:after="160" w:line="259" w:lineRule="auto"/>
        <w:rPr>
          <w:rFonts w:asciiTheme="minorHAnsi" w:hAnsiTheme="minorHAnsi" w:cstheme="minorHAnsi"/>
          <w:i/>
          <w:color w:val="000000" w:themeColor="text1"/>
        </w:rPr>
      </w:pPr>
    </w:p>
    <w:p w14:paraId="40FCE6C2" w14:textId="77777777" w:rsidR="008308A1" w:rsidRDefault="008308A1" w:rsidP="008308A1">
      <w:r>
        <w:t xml:space="preserve">The student learning outcome (SLO) assessment data </w:t>
      </w:r>
      <w:proofErr w:type="gramStart"/>
      <w:r>
        <w:t>indicate</w:t>
      </w:r>
      <w:proofErr w:type="gramEnd"/>
      <w:r>
        <w:t xml:space="preserve"> strong overall student performance, though some areas have seen slight declines over the past three years. While students continue to demonstrate high levels of mastery in applying learning, building community, communicating effectively, and thinking critically, the downward trends suggest a need for further examination and potential intervention to ensure continued success.</w:t>
      </w:r>
    </w:p>
    <w:p w14:paraId="412D7718" w14:textId="77777777" w:rsidR="008308A1" w:rsidRDefault="008308A1" w:rsidP="008308A1"/>
    <w:p w14:paraId="083EACAA" w14:textId="77777777" w:rsidR="008308A1" w:rsidRDefault="008308A1" w:rsidP="008308A1">
      <w:r>
        <w:t xml:space="preserve">At the same time, our ability to fully assess student learning relies on faculty participation in the assessment process. While completion rates saw a significant increase in Fall 2023, they declined again in Fall 2024, reinforcing the challenge of maintaining faculty engagement. Despite these fluctuations, the data we do have </w:t>
      </w:r>
      <w:proofErr w:type="gramStart"/>
      <w:r>
        <w:t>provide</w:t>
      </w:r>
      <w:proofErr w:type="gramEnd"/>
      <w:r>
        <w:t xml:space="preserve"> valuable insight into student learning at K-State First. Moving forward, continued efforts to support faculty in completing assessments and using the results to enhance student learning will be essential.</w:t>
      </w:r>
    </w:p>
    <w:p w14:paraId="30163E2E" w14:textId="77777777" w:rsidR="008308A1" w:rsidRDefault="008308A1" w:rsidP="008308A1"/>
    <w:p w14:paraId="676A1362" w14:textId="26190569" w:rsidR="008308A1" w:rsidRDefault="008308A1" w:rsidP="008308A1">
      <w:pPr>
        <w:spacing w:after="160" w:line="259" w:lineRule="auto"/>
      </w:pPr>
      <w:r>
        <w:t xml:space="preserve">Our efforts to increase participation in the 2023 SLO assessment were successful. That year, we doubled the percentage of faculty and instructors completing and submitting SLO assessments for their classes. Unfortunately, our completion rates dropped again this year. We will need to continue our diligence in encouraging faculty participation. This will be highlighted in all faculty development meetings and workshops we </w:t>
      </w:r>
      <w:proofErr w:type="gramStart"/>
      <w:r>
        <w:t>leading</w:t>
      </w:r>
      <w:proofErr w:type="gramEnd"/>
      <w:r>
        <w:t xml:space="preserve"> up to and during the fall 2025 semester. </w:t>
      </w:r>
    </w:p>
    <w:p w14:paraId="6B768DA9" w14:textId="77777777" w:rsidR="008308A1" w:rsidRDefault="008308A1" w:rsidP="008308A1">
      <w:pPr>
        <w:spacing w:after="160" w:line="259" w:lineRule="auto"/>
      </w:pPr>
      <w:r>
        <w:t xml:space="preserve">Additionally, we have met as a team to discuss more targeted assessments in the future. This was a goal coming out of last year’s assessment. In the future, we will use a rotating timeline for additional assessments of our First-Year Seminars and CAT Communities. </w:t>
      </w:r>
    </w:p>
    <w:p w14:paraId="3F6A93F5" w14:textId="77777777" w:rsidR="008308A1" w:rsidRPr="003763DB" w:rsidRDefault="008308A1" w:rsidP="008308A1">
      <w:pPr>
        <w:spacing w:after="160" w:line="259" w:lineRule="auto"/>
      </w:pPr>
      <w:r w:rsidRPr="003763DB">
        <w:t>Our planned timeline is as follows:</w:t>
      </w:r>
    </w:p>
    <w:p w14:paraId="76BAE4E2" w14:textId="77777777" w:rsidR="008308A1" w:rsidRPr="003763DB" w:rsidRDefault="008308A1" w:rsidP="008308A1">
      <w:pPr>
        <w:numPr>
          <w:ilvl w:val="0"/>
          <w:numId w:val="9"/>
        </w:numPr>
        <w:spacing w:after="160" w:line="259" w:lineRule="auto"/>
      </w:pPr>
      <w:r w:rsidRPr="003763DB">
        <w:rPr>
          <w:b/>
          <w:bCs/>
        </w:rPr>
        <w:t>Year 1:</w:t>
      </w:r>
      <w:r w:rsidRPr="003763DB">
        <w:t xml:space="preserve"> Residential CAT Communities</w:t>
      </w:r>
    </w:p>
    <w:p w14:paraId="7AEBABDB" w14:textId="77777777" w:rsidR="008308A1" w:rsidRPr="003763DB" w:rsidRDefault="008308A1" w:rsidP="008308A1">
      <w:pPr>
        <w:numPr>
          <w:ilvl w:val="0"/>
          <w:numId w:val="9"/>
        </w:numPr>
        <w:spacing w:after="160" w:line="259" w:lineRule="auto"/>
      </w:pPr>
      <w:r w:rsidRPr="003763DB">
        <w:rPr>
          <w:b/>
          <w:bCs/>
        </w:rPr>
        <w:lastRenderedPageBreak/>
        <w:t>Year 2:</w:t>
      </w:r>
      <w:r w:rsidRPr="003763DB">
        <w:t xml:space="preserve"> Non-Residential CAT Communities</w:t>
      </w:r>
    </w:p>
    <w:p w14:paraId="3E2CF735" w14:textId="77777777" w:rsidR="008308A1" w:rsidRPr="003763DB" w:rsidRDefault="008308A1" w:rsidP="008308A1">
      <w:pPr>
        <w:numPr>
          <w:ilvl w:val="0"/>
          <w:numId w:val="9"/>
        </w:numPr>
        <w:spacing w:after="160" w:line="259" w:lineRule="auto"/>
      </w:pPr>
      <w:r w:rsidRPr="003763DB">
        <w:rPr>
          <w:b/>
          <w:bCs/>
        </w:rPr>
        <w:t>Year 3:</w:t>
      </w:r>
      <w:r w:rsidRPr="003763DB">
        <w:t xml:space="preserve"> First-Year Seminars</w:t>
      </w:r>
    </w:p>
    <w:p w14:paraId="5E146F77" w14:textId="77777777" w:rsidR="008308A1" w:rsidRPr="003763DB" w:rsidRDefault="008308A1" w:rsidP="008308A1">
      <w:pPr>
        <w:spacing w:after="160" w:line="259" w:lineRule="auto"/>
      </w:pPr>
      <w:r w:rsidRPr="003763DB">
        <w:t>During the designated assessment years, we will continue to ask faculty and instructors to complete SLO assessments using coursework. Focusing on one program per year will allow us to prioritize outreach to faculty and instructors while ensuring we dedicate the necessary time and attention to evaluating the strengths, challenges, and opportunities for improvement within CAT Communities and First-Year Seminars.</w:t>
      </w:r>
    </w:p>
    <w:p w14:paraId="5104FF72" w14:textId="77777777" w:rsidR="008308A1" w:rsidRPr="003763DB" w:rsidRDefault="008308A1" w:rsidP="008308A1">
      <w:pPr>
        <w:spacing w:after="160" w:line="259" w:lineRule="auto"/>
      </w:pPr>
      <w:r w:rsidRPr="003763DB">
        <w:t>Additionally, we will incorporate a new assessment component that gathers feedback from students and peer-learning assistants. Including these perspectives will provide deeper insights into the classroom environment and the factors influencing student performance on the assessed learning outcomes.</w:t>
      </w:r>
    </w:p>
    <w:p w14:paraId="4AD09429" w14:textId="77777777" w:rsidR="008308A1" w:rsidRDefault="008308A1" w:rsidP="008308A1"/>
    <w:p w14:paraId="263E5984" w14:textId="77777777" w:rsidR="008308A1" w:rsidRPr="00B917C2" w:rsidRDefault="008308A1" w:rsidP="00A22D72">
      <w:pPr>
        <w:spacing w:after="160" w:line="259" w:lineRule="auto"/>
        <w:rPr>
          <w:rFonts w:asciiTheme="minorHAnsi" w:hAnsiTheme="minorHAnsi" w:cstheme="minorHAnsi"/>
          <w:b/>
          <w:strike/>
          <w:color w:val="000000" w:themeColor="text1"/>
        </w:rPr>
      </w:pPr>
    </w:p>
    <w:p w14:paraId="31CAB9A6" w14:textId="483F6FFC" w:rsidR="72DE245E" w:rsidRPr="00B917C2" w:rsidRDefault="72DE245E" w:rsidP="33F87633">
      <w:pPr>
        <w:rPr>
          <w:rFonts w:asciiTheme="minorHAnsi" w:hAnsiTheme="minorHAnsi" w:cstheme="minorHAnsi"/>
          <w:strike/>
          <w:color w:val="000000" w:themeColor="text1"/>
        </w:rPr>
      </w:pPr>
    </w:p>
    <w:sectPr w:rsidR="72DE245E" w:rsidRPr="00B917C2" w:rsidSect="00B82F19">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7FBF" w14:textId="77777777" w:rsidR="00876441" w:rsidRDefault="00876441" w:rsidP="00024594">
      <w:r>
        <w:separator/>
      </w:r>
    </w:p>
  </w:endnote>
  <w:endnote w:type="continuationSeparator" w:id="0">
    <w:p w14:paraId="62230945" w14:textId="77777777" w:rsidR="00876441" w:rsidRDefault="00876441" w:rsidP="00024594">
      <w:r>
        <w:continuationSeparator/>
      </w:r>
    </w:p>
  </w:endnote>
  <w:endnote w:type="continuationNotice" w:id="1">
    <w:p w14:paraId="06F70A8B" w14:textId="77777777" w:rsidR="00876441" w:rsidRDefault="00876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463383"/>
      <w:docPartObj>
        <w:docPartGallery w:val="Page Numbers (Bottom of Page)"/>
        <w:docPartUnique/>
      </w:docPartObj>
    </w:sdtPr>
    <w:sdtEndPr>
      <w:rPr>
        <w:rFonts w:asciiTheme="minorHAnsi" w:hAnsiTheme="minorHAnsi" w:cstheme="minorBidi"/>
        <w:noProof/>
      </w:rPr>
    </w:sdtEndPr>
    <w:sdtContent>
      <w:p w14:paraId="75875F13" w14:textId="5FAF7502" w:rsidR="00DB1253" w:rsidRPr="007B2567" w:rsidRDefault="00DB1253">
        <w:pPr>
          <w:pStyle w:val="Footer"/>
          <w:jc w:val="right"/>
          <w:rPr>
            <w:rFonts w:asciiTheme="minorHAnsi" w:hAnsiTheme="minorHAnsi" w:cstheme="minorHAnsi"/>
          </w:rPr>
        </w:pPr>
        <w:r w:rsidRPr="007B2567">
          <w:rPr>
            <w:rFonts w:asciiTheme="minorHAnsi" w:hAnsiTheme="minorHAnsi" w:cstheme="minorHAnsi"/>
          </w:rPr>
          <w:fldChar w:fldCharType="begin"/>
        </w:r>
        <w:r w:rsidRPr="007B2567">
          <w:rPr>
            <w:rFonts w:asciiTheme="minorHAnsi" w:hAnsiTheme="minorHAnsi" w:cstheme="minorHAnsi"/>
          </w:rPr>
          <w:instrText xml:space="preserve"> PAGE   \* MERGEFORMAT </w:instrText>
        </w:r>
        <w:r w:rsidRPr="007B2567">
          <w:rPr>
            <w:rFonts w:asciiTheme="minorHAnsi" w:hAnsiTheme="minorHAnsi" w:cstheme="minorHAnsi"/>
          </w:rPr>
          <w:fldChar w:fldCharType="separate"/>
        </w:r>
        <w:r w:rsidRPr="007B2567">
          <w:rPr>
            <w:rFonts w:asciiTheme="minorHAnsi" w:hAnsiTheme="minorHAnsi" w:cstheme="minorHAnsi"/>
            <w:noProof/>
          </w:rPr>
          <w:t>2</w:t>
        </w:r>
        <w:r w:rsidRPr="007B2567">
          <w:rPr>
            <w:rFonts w:asciiTheme="minorHAnsi" w:hAnsiTheme="minorHAnsi" w:cstheme="minorHAnsi"/>
            <w:noProof/>
          </w:rPr>
          <w:fldChar w:fldCharType="end"/>
        </w:r>
      </w:p>
    </w:sdtContent>
  </w:sdt>
  <w:p w14:paraId="50BE389A" w14:textId="77777777" w:rsidR="00024594" w:rsidRDefault="00024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BA82" w14:textId="57CA0D19" w:rsidR="00B82F19" w:rsidRPr="007B2567" w:rsidRDefault="00D35856">
    <w:pPr>
      <w:pStyle w:val="Footer"/>
      <w:jc w:val="right"/>
      <w:rPr>
        <w:rFonts w:asciiTheme="minorHAnsi" w:hAnsiTheme="minorHAnsi" w:cstheme="minorHAnsi"/>
      </w:rPr>
    </w:pPr>
    <w:r w:rsidRPr="007B2567">
      <w:rPr>
        <w:rFonts w:asciiTheme="minorHAnsi" w:hAnsiTheme="minorHAnsi" w:cstheme="minorHAnsi"/>
        <w:i/>
        <w:iCs/>
      </w:rPr>
      <w:t xml:space="preserve"> </w:t>
    </w:r>
    <w:sdt>
      <w:sdtPr>
        <w:rPr>
          <w:rFonts w:asciiTheme="minorHAnsi" w:hAnsiTheme="minorHAnsi" w:cstheme="minorHAnsi"/>
        </w:rPr>
        <w:id w:val="225350469"/>
        <w:docPartObj>
          <w:docPartGallery w:val="Page Numbers (Bottom of Page)"/>
          <w:docPartUnique/>
        </w:docPartObj>
      </w:sdtPr>
      <w:sdtEndPr>
        <w:rPr>
          <w:noProof/>
        </w:rPr>
      </w:sdtEndPr>
      <w:sdtContent>
        <w:r w:rsidR="00B82F19" w:rsidRPr="007B2567">
          <w:rPr>
            <w:rFonts w:asciiTheme="minorHAnsi" w:hAnsiTheme="minorHAnsi" w:cstheme="minorHAnsi"/>
          </w:rPr>
          <w:fldChar w:fldCharType="begin"/>
        </w:r>
        <w:r w:rsidR="00B82F19" w:rsidRPr="007B2567">
          <w:rPr>
            <w:rFonts w:asciiTheme="minorHAnsi" w:hAnsiTheme="minorHAnsi" w:cstheme="minorHAnsi"/>
          </w:rPr>
          <w:instrText xml:space="preserve"> PAGE   \* MERGEFORMAT </w:instrText>
        </w:r>
        <w:r w:rsidR="00B82F19" w:rsidRPr="007B2567">
          <w:rPr>
            <w:rFonts w:asciiTheme="minorHAnsi" w:hAnsiTheme="minorHAnsi" w:cstheme="minorHAnsi"/>
          </w:rPr>
          <w:fldChar w:fldCharType="separate"/>
        </w:r>
        <w:r w:rsidR="00B82F19" w:rsidRPr="007B2567">
          <w:rPr>
            <w:rFonts w:asciiTheme="minorHAnsi" w:hAnsiTheme="minorHAnsi" w:cstheme="minorHAnsi"/>
            <w:noProof/>
          </w:rPr>
          <w:t>2</w:t>
        </w:r>
        <w:r w:rsidR="00B82F19" w:rsidRPr="007B2567">
          <w:rPr>
            <w:rFonts w:asciiTheme="minorHAnsi" w:hAnsiTheme="minorHAnsi" w:cstheme="minorHAns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D1D4F" w14:textId="77777777" w:rsidR="00876441" w:rsidRDefault="00876441" w:rsidP="00024594">
      <w:r>
        <w:separator/>
      </w:r>
    </w:p>
  </w:footnote>
  <w:footnote w:type="continuationSeparator" w:id="0">
    <w:p w14:paraId="23355922" w14:textId="77777777" w:rsidR="00876441" w:rsidRDefault="00876441" w:rsidP="00024594">
      <w:r>
        <w:continuationSeparator/>
      </w:r>
    </w:p>
  </w:footnote>
  <w:footnote w:type="continuationNotice" w:id="1">
    <w:p w14:paraId="035D36B1" w14:textId="77777777" w:rsidR="00876441" w:rsidRDefault="008764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D1E3" w14:textId="77777777" w:rsidR="00DB1253" w:rsidRPr="007B2567" w:rsidRDefault="00DB1253" w:rsidP="00024594">
    <w:pPr>
      <w:pStyle w:val="Header"/>
      <w:jc w:val="center"/>
      <w:rPr>
        <w:rFonts w:asciiTheme="minorHAnsi" w:hAnsiTheme="minorHAnsi" w:cstheme="minorHAnsi"/>
      </w:rPr>
    </w:pPr>
    <w:r w:rsidRPr="007B2567">
      <w:rPr>
        <w:rFonts w:asciiTheme="minorHAnsi" w:hAnsiTheme="minorHAnsi" w:cstheme="minorHAnsi"/>
      </w:rPr>
      <w:t xml:space="preserve">Co-Curricular Assessment Report </w:t>
    </w:r>
  </w:p>
  <w:p w14:paraId="55DF1B8A" w14:textId="5A65C12D" w:rsidR="00024594" w:rsidRPr="007B2567" w:rsidRDefault="00024594" w:rsidP="00024594">
    <w:pPr>
      <w:pStyle w:val="Header"/>
      <w:jc w:val="center"/>
      <w:rPr>
        <w:rFonts w:asciiTheme="minorHAnsi" w:hAnsiTheme="minorHAnsi" w:cstheme="minorHAnsi"/>
      </w:rPr>
    </w:pPr>
    <w:r w:rsidRPr="007B2567">
      <w:rPr>
        <w:rFonts w:asciiTheme="minorHAnsi" w:hAnsiTheme="minorHAnsi" w:cstheme="minorHAnsi"/>
      </w:rPr>
      <w:t>[</w:t>
    </w:r>
    <w:r w:rsidR="000109EA" w:rsidRPr="007B2567">
      <w:rPr>
        <w:rFonts w:asciiTheme="minorHAnsi" w:hAnsiTheme="minorHAnsi" w:cstheme="minorHAnsi"/>
      </w:rPr>
      <w:t>Office</w:t>
    </w:r>
    <w:r w:rsidRPr="007B2567">
      <w:rPr>
        <w:rFonts w:asciiTheme="minorHAnsi" w:hAnsiTheme="minorHAnsi" w:cstheme="minorHAnsi"/>
      </w:rPr>
      <w:t xml:space="preserve">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EA7F" w14:textId="1E8C7964" w:rsidR="000109EA" w:rsidRDefault="000109EA" w:rsidP="000109EA">
    <w:pPr>
      <w:pStyle w:val="Header"/>
    </w:pPr>
  </w:p>
  <w:p w14:paraId="7233EA74" w14:textId="77777777" w:rsidR="000109EA" w:rsidRDefault="00010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32B8"/>
    <w:multiLevelType w:val="multilevel"/>
    <w:tmpl w:val="209EA24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DE4707"/>
    <w:multiLevelType w:val="hybridMultilevel"/>
    <w:tmpl w:val="480423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1C61AA"/>
    <w:multiLevelType w:val="hybridMultilevel"/>
    <w:tmpl w:val="213C6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E4B0E"/>
    <w:multiLevelType w:val="hybridMultilevel"/>
    <w:tmpl w:val="C302C2BC"/>
    <w:lvl w:ilvl="0" w:tplc="D7C433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27054D"/>
    <w:multiLevelType w:val="hybridMultilevel"/>
    <w:tmpl w:val="2440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2C3063"/>
    <w:multiLevelType w:val="multilevel"/>
    <w:tmpl w:val="DFFA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BF77B7"/>
    <w:multiLevelType w:val="hybridMultilevel"/>
    <w:tmpl w:val="E3FAA0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2E4C29"/>
    <w:multiLevelType w:val="hybridMultilevel"/>
    <w:tmpl w:val="0409001D"/>
    <w:lvl w:ilvl="0" w:tplc="3770348A">
      <w:start w:val="1"/>
      <w:numFmt w:val="decimal"/>
      <w:lvlText w:val="%1)"/>
      <w:lvlJc w:val="left"/>
      <w:pPr>
        <w:ind w:left="360" w:hanging="360"/>
      </w:pPr>
      <w:rPr>
        <w:rFonts w:hint="default"/>
      </w:rPr>
    </w:lvl>
    <w:lvl w:ilvl="1" w:tplc="E6C491DC">
      <w:start w:val="1"/>
      <w:numFmt w:val="lowerLetter"/>
      <w:lvlText w:val="%2)"/>
      <w:lvlJc w:val="left"/>
      <w:pPr>
        <w:ind w:left="720" w:hanging="360"/>
      </w:pPr>
    </w:lvl>
    <w:lvl w:ilvl="2" w:tplc="52C84DDC">
      <w:start w:val="1"/>
      <w:numFmt w:val="lowerRoman"/>
      <w:lvlText w:val="%3)"/>
      <w:lvlJc w:val="left"/>
      <w:pPr>
        <w:ind w:left="1080" w:hanging="360"/>
      </w:pPr>
    </w:lvl>
    <w:lvl w:ilvl="3" w:tplc="807CA7D8">
      <w:start w:val="1"/>
      <w:numFmt w:val="decimal"/>
      <w:lvlText w:val="(%4)"/>
      <w:lvlJc w:val="left"/>
      <w:pPr>
        <w:ind w:left="1440" w:hanging="360"/>
      </w:pPr>
    </w:lvl>
    <w:lvl w:ilvl="4" w:tplc="98300408">
      <w:start w:val="1"/>
      <w:numFmt w:val="lowerLetter"/>
      <w:lvlText w:val="(%5)"/>
      <w:lvlJc w:val="left"/>
      <w:pPr>
        <w:ind w:left="1800" w:hanging="360"/>
      </w:pPr>
    </w:lvl>
    <w:lvl w:ilvl="5" w:tplc="E78A30E8">
      <w:start w:val="1"/>
      <w:numFmt w:val="lowerRoman"/>
      <w:lvlText w:val="(%6)"/>
      <w:lvlJc w:val="left"/>
      <w:pPr>
        <w:ind w:left="2160" w:hanging="360"/>
      </w:pPr>
    </w:lvl>
    <w:lvl w:ilvl="6" w:tplc="7F66EBEE">
      <w:start w:val="1"/>
      <w:numFmt w:val="decimal"/>
      <w:lvlText w:val="%7."/>
      <w:lvlJc w:val="left"/>
      <w:pPr>
        <w:ind w:left="2520" w:hanging="360"/>
      </w:pPr>
    </w:lvl>
    <w:lvl w:ilvl="7" w:tplc="C7CA2E04">
      <w:start w:val="1"/>
      <w:numFmt w:val="lowerLetter"/>
      <w:lvlText w:val="%8."/>
      <w:lvlJc w:val="left"/>
      <w:pPr>
        <w:ind w:left="2880" w:hanging="360"/>
      </w:pPr>
    </w:lvl>
    <w:lvl w:ilvl="8" w:tplc="B3DE02B6">
      <w:start w:val="1"/>
      <w:numFmt w:val="lowerRoman"/>
      <w:lvlText w:val="%9."/>
      <w:lvlJc w:val="left"/>
      <w:pPr>
        <w:ind w:left="3240" w:hanging="360"/>
      </w:pPr>
    </w:lvl>
  </w:abstractNum>
  <w:abstractNum w:abstractNumId="8" w15:restartNumberingAfterBreak="0">
    <w:nsid w:val="5DBF2087"/>
    <w:multiLevelType w:val="multilevel"/>
    <w:tmpl w:val="209EA24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51183008">
    <w:abstractNumId w:val="7"/>
  </w:num>
  <w:num w:numId="2" w16cid:durableId="1088112972">
    <w:abstractNumId w:val="1"/>
  </w:num>
  <w:num w:numId="3" w16cid:durableId="1480154593">
    <w:abstractNumId w:val="6"/>
  </w:num>
  <w:num w:numId="4" w16cid:durableId="974943536">
    <w:abstractNumId w:val="0"/>
  </w:num>
  <w:num w:numId="5" w16cid:durableId="1093938242">
    <w:abstractNumId w:val="8"/>
  </w:num>
  <w:num w:numId="6" w16cid:durableId="2075272848">
    <w:abstractNumId w:val="2"/>
  </w:num>
  <w:num w:numId="7" w16cid:durableId="1840728519">
    <w:abstractNumId w:val="3"/>
  </w:num>
  <w:num w:numId="8" w16cid:durableId="1130126049">
    <w:abstractNumId w:val="4"/>
  </w:num>
  <w:num w:numId="9" w16cid:durableId="1080327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2Mza3MDC0sDA2M7RU0lEKTi0uzszPAykwrAUA3GOAoiwAAAA="/>
  </w:docVars>
  <w:rsids>
    <w:rsidRoot w:val="00C661BB"/>
    <w:rsid w:val="000109EA"/>
    <w:rsid w:val="00024594"/>
    <w:rsid w:val="00062DB6"/>
    <w:rsid w:val="00091E47"/>
    <w:rsid w:val="00092A92"/>
    <w:rsid w:val="000C0D1B"/>
    <w:rsid w:val="000E3EA4"/>
    <w:rsid w:val="001563A5"/>
    <w:rsid w:val="002A68D5"/>
    <w:rsid w:val="002D1900"/>
    <w:rsid w:val="00301E69"/>
    <w:rsid w:val="0031294D"/>
    <w:rsid w:val="00325F3F"/>
    <w:rsid w:val="003620F8"/>
    <w:rsid w:val="00365B4C"/>
    <w:rsid w:val="00380B1D"/>
    <w:rsid w:val="003B47B0"/>
    <w:rsid w:val="003D5B28"/>
    <w:rsid w:val="00421977"/>
    <w:rsid w:val="00423617"/>
    <w:rsid w:val="00433811"/>
    <w:rsid w:val="004405FF"/>
    <w:rsid w:val="0044313B"/>
    <w:rsid w:val="00454EA9"/>
    <w:rsid w:val="00496463"/>
    <w:rsid w:val="004A7D59"/>
    <w:rsid w:val="004C4D7F"/>
    <w:rsid w:val="004F3237"/>
    <w:rsid w:val="004F33CF"/>
    <w:rsid w:val="004F5848"/>
    <w:rsid w:val="00515094"/>
    <w:rsid w:val="00524B98"/>
    <w:rsid w:val="00537C69"/>
    <w:rsid w:val="00572563"/>
    <w:rsid w:val="005A0E2C"/>
    <w:rsid w:val="005B2B3A"/>
    <w:rsid w:val="005B67F3"/>
    <w:rsid w:val="005C39D0"/>
    <w:rsid w:val="0063271A"/>
    <w:rsid w:val="00654643"/>
    <w:rsid w:val="00670A5C"/>
    <w:rsid w:val="006779A4"/>
    <w:rsid w:val="006A6494"/>
    <w:rsid w:val="006F26E9"/>
    <w:rsid w:val="00714E12"/>
    <w:rsid w:val="007B2567"/>
    <w:rsid w:val="007B32E2"/>
    <w:rsid w:val="00801021"/>
    <w:rsid w:val="008103D5"/>
    <w:rsid w:val="00814A0B"/>
    <w:rsid w:val="008308A1"/>
    <w:rsid w:val="00836F34"/>
    <w:rsid w:val="00861BED"/>
    <w:rsid w:val="00876441"/>
    <w:rsid w:val="008B0400"/>
    <w:rsid w:val="008B34D0"/>
    <w:rsid w:val="008E777C"/>
    <w:rsid w:val="008F5CA8"/>
    <w:rsid w:val="00970E36"/>
    <w:rsid w:val="0097456B"/>
    <w:rsid w:val="00982C5B"/>
    <w:rsid w:val="009D1ADF"/>
    <w:rsid w:val="00A22D72"/>
    <w:rsid w:val="00A314F1"/>
    <w:rsid w:val="00A379E5"/>
    <w:rsid w:val="00A37F51"/>
    <w:rsid w:val="00A9579A"/>
    <w:rsid w:val="00AB5294"/>
    <w:rsid w:val="00AD088C"/>
    <w:rsid w:val="00B0354F"/>
    <w:rsid w:val="00B07477"/>
    <w:rsid w:val="00B415E6"/>
    <w:rsid w:val="00B82F19"/>
    <w:rsid w:val="00B917C2"/>
    <w:rsid w:val="00BC0AE5"/>
    <w:rsid w:val="00C00862"/>
    <w:rsid w:val="00C2587E"/>
    <w:rsid w:val="00C661BB"/>
    <w:rsid w:val="00C95BC8"/>
    <w:rsid w:val="00CB1AF1"/>
    <w:rsid w:val="00CB232F"/>
    <w:rsid w:val="00CB2960"/>
    <w:rsid w:val="00CC6545"/>
    <w:rsid w:val="00CC7A48"/>
    <w:rsid w:val="00CD20D1"/>
    <w:rsid w:val="00CE5B7C"/>
    <w:rsid w:val="00D35856"/>
    <w:rsid w:val="00D66149"/>
    <w:rsid w:val="00D675FF"/>
    <w:rsid w:val="00DA7F91"/>
    <w:rsid w:val="00DB1253"/>
    <w:rsid w:val="00DE7EA6"/>
    <w:rsid w:val="00E32943"/>
    <w:rsid w:val="00E40D28"/>
    <w:rsid w:val="00E419A1"/>
    <w:rsid w:val="00E467FD"/>
    <w:rsid w:val="00E968F5"/>
    <w:rsid w:val="00E97798"/>
    <w:rsid w:val="00EB2450"/>
    <w:rsid w:val="00EC1BF3"/>
    <w:rsid w:val="00ED083F"/>
    <w:rsid w:val="00EF41DF"/>
    <w:rsid w:val="00EF6427"/>
    <w:rsid w:val="00F96F76"/>
    <w:rsid w:val="00FA7FE2"/>
    <w:rsid w:val="00FC31DD"/>
    <w:rsid w:val="00FC4E24"/>
    <w:rsid w:val="01310871"/>
    <w:rsid w:val="0996CAEE"/>
    <w:rsid w:val="2EB63B8A"/>
    <w:rsid w:val="33F87633"/>
    <w:rsid w:val="344B4C5E"/>
    <w:rsid w:val="3C4D007D"/>
    <w:rsid w:val="513D7E66"/>
    <w:rsid w:val="55313EE3"/>
    <w:rsid w:val="578841CA"/>
    <w:rsid w:val="60878EB2"/>
    <w:rsid w:val="72DE245E"/>
    <w:rsid w:val="782AF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41291A"/>
  <w15:docId w15:val="{D8904EAE-CEAB-452B-ADB5-025D8774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427"/>
    <w:pPr>
      <w:spacing w:after="0" w:line="240" w:lineRule="auto"/>
    </w:pPr>
    <w:rPr>
      <w:rFonts w:ascii="Times New Roman" w:hAnsi="Times New Roman" w:cs="Times New Roman"/>
      <w:sz w:val="24"/>
    </w:rPr>
  </w:style>
  <w:style w:type="paragraph" w:styleId="Heading1">
    <w:name w:val="heading 1"/>
    <w:basedOn w:val="NoSpacing"/>
    <w:next w:val="Normal"/>
    <w:link w:val="Heading1Char"/>
    <w:uiPriority w:val="9"/>
    <w:qFormat/>
    <w:rsid w:val="008E777C"/>
    <w:pPr>
      <w:spacing w:before="240"/>
      <w:outlineLvl w:val="0"/>
    </w:pPr>
    <w:rPr>
      <w:rFonts w:ascii="Arial" w:hAnsi="Arial" w:cs="Arial"/>
      <w:b/>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34D0"/>
    <w:pPr>
      <w:spacing w:after="0" w:line="240" w:lineRule="auto"/>
    </w:pPr>
  </w:style>
  <w:style w:type="character" w:styleId="CommentReference">
    <w:name w:val="annotation reference"/>
    <w:basedOn w:val="DefaultParagraphFont"/>
    <w:uiPriority w:val="99"/>
    <w:semiHidden/>
    <w:unhideWhenUsed/>
    <w:rsid w:val="008103D5"/>
    <w:rPr>
      <w:sz w:val="16"/>
      <w:szCs w:val="16"/>
    </w:rPr>
  </w:style>
  <w:style w:type="paragraph" w:styleId="CommentText">
    <w:name w:val="annotation text"/>
    <w:basedOn w:val="Normal"/>
    <w:link w:val="CommentTextChar"/>
    <w:uiPriority w:val="99"/>
    <w:semiHidden/>
    <w:unhideWhenUsed/>
    <w:rsid w:val="008103D5"/>
    <w:rPr>
      <w:sz w:val="20"/>
      <w:szCs w:val="20"/>
    </w:rPr>
  </w:style>
  <w:style w:type="character" w:customStyle="1" w:styleId="CommentTextChar">
    <w:name w:val="Comment Text Char"/>
    <w:basedOn w:val="DefaultParagraphFont"/>
    <w:link w:val="CommentText"/>
    <w:uiPriority w:val="99"/>
    <w:semiHidden/>
    <w:rsid w:val="008103D5"/>
    <w:rPr>
      <w:sz w:val="20"/>
      <w:szCs w:val="20"/>
    </w:rPr>
  </w:style>
  <w:style w:type="paragraph" w:styleId="CommentSubject">
    <w:name w:val="annotation subject"/>
    <w:basedOn w:val="CommentText"/>
    <w:next w:val="CommentText"/>
    <w:link w:val="CommentSubjectChar"/>
    <w:uiPriority w:val="99"/>
    <w:semiHidden/>
    <w:unhideWhenUsed/>
    <w:rsid w:val="008103D5"/>
    <w:rPr>
      <w:b/>
      <w:bCs/>
    </w:rPr>
  </w:style>
  <w:style w:type="character" w:customStyle="1" w:styleId="CommentSubjectChar">
    <w:name w:val="Comment Subject Char"/>
    <w:basedOn w:val="CommentTextChar"/>
    <w:link w:val="CommentSubject"/>
    <w:uiPriority w:val="99"/>
    <w:semiHidden/>
    <w:rsid w:val="008103D5"/>
    <w:rPr>
      <w:b/>
      <w:bCs/>
      <w:sz w:val="20"/>
      <w:szCs w:val="20"/>
    </w:rPr>
  </w:style>
  <w:style w:type="paragraph" w:styleId="BalloonText">
    <w:name w:val="Balloon Text"/>
    <w:basedOn w:val="Normal"/>
    <w:link w:val="BalloonTextChar"/>
    <w:uiPriority w:val="99"/>
    <w:semiHidden/>
    <w:unhideWhenUsed/>
    <w:rsid w:val="008103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3D5"/>
    <w:rPr>
      <w:rFonts w:ascii="Segoe UI" w:hAnsi="Segoe UI" w:cs="Segoe UI"/>
      <w:sz w:val="18"/>
      <w:szCs w:val="18"/>
    </w:rPr>
  </w:style>
  <w:style w:type="character" w:styleId="Hyperlink">
    <w:name w:val="Hyperlink"/>
    <w:basedOn w:val="DefaultParagraphFont"/>
    <w:uiPriority w:val="99"/>
    <w:unhideWhenUsed/>
    <w:rsid w:val="0031294D"/>
    <w:rPr>
      <w:color w:val="0563C1" w:themeColor="hyperlink"/>
      <w:u w:val="single"/>
    </w:rPr>
  </w:style>
  <w:style w:type="character" w:customStyle="1" w:styleId="Heading1Char">
    <w:name w:val="Heading 1 Char"/>
    <w:basedOn w:val="DefaultParagraphFont"/>
    <w:link w:val="Heading1"/>
    <w:uiPriority w:val="9"/>
    <w:rsid w:val="008E777C"/>
    <w:rPr>
      <w:rFonts w:ascii="Arial" w:hAnsi="Arial" w:cs="Arial"/>
      <w:b/>
      <w:sz w:val="24"/>
      <w:szCs w:val="28"/>
    </w:rPr>
  </w:style>
  <w:style w:type="paragraph" w:styleId="ListParagraph">
    <w:name w:val="List Paragraph"/>
    <w:basedOn w:val="Normal"/>
    <w:uiPriority w:val="34"/>
    <w:qFormat/>
    <w:rsid w:val="00FC4E24"/>
    <w:pPr>
      <w:ind w:left="720"/>
      <w:contextualSpacing/>
    </w:pPr>
  </w:style>
  <w:style w:type="paragraph" w:styleId="NormalWeb">
    <w:name w:val="Normal (Web)"/>
    <w:basedOn w:val="Normal"/>
    <w:uiPriority w:val="99"/>
    <w:semiHidden/>
    <w:unhideWhenUsed/>
    <w:rsid w:val="00C00862"/>
    <w:pPr>
      <w:spacing w:before="100" w:beforeAutospacing="1" w:after="100" w:afterAutospacing="1"/>
    </w:pPr>
    <w:rPr>
      <w:rFonts w:eastAsia="Times New Roman"/>
      <w:szCs w:val="24"/>
    </w:rPr>
  </w:style>
  <w:style w:type="paragraph" w:styleId="Header">
    <w:name w:val="header"/>
    <w:basedOn w:val="Normal"/>
    <w:link w:val="HeaderChar"/>
    <w:uiPriority w:val="99"/>
    <w:unhideWhenUsed/>
    <w:rsid w:val="00024594"/>
    <w:pPr>
      <w:tabs>
        <w:tab w:val="center" w:pos="4680"/>
        <w:tab w:val="right" w:pos="9360"/>
      </w:tabs>
    </w:pPr>
  </w:style>
  <w:style w:type="character" w:customStyle="1" w:styleId="HeaderChar">
    <w:name w:val="Header Char"/>
    <w:basedOn w:val="DefaultParagraphFont"/>
    <w:link w:val="Header"/>
    <w:uiPriority w:val="99"/>
    <w:rsid w:val="00024594"/>
    <w:rPr>
      <w:rFonts w:ascii="Times New Roman" w:hAnsi="Times New Roman" w:cs="Times New Roman"/>
      <w:sz w:val="24"/>
    </w:rPr>
  </w:style>
  <w:style w:type="paragraph" w:styleId="Footer">
    <w:name w:val="footer"/>
    <w:basedOn w:val="Normal"/>
    <w:link w:val="FooterChar"/>
    <w:uiPriority w:val="99"/>
    <w:unhideWhenUsed/>
    <w:rsid w:val="00024594"/>
    <w:pPr>
      <w:tabs>
        <w:tab w:val="center" w:pos="4680"/>
        <w:tab w:val="right" w:pos="9360"/>
      </w:tabs>
    </w:pPr>
  </w:style>
  <w:style w:type="character" w:customStyle="1" w:styleId="FooterChar">
    <w:name w:val="Footer Char"/>
    <w:basedOn w:val="DefaultParagraphFont"/>
    <w:link w:val="Footer"/>
    <w:uiPriority w:val="99"/>
    <w:rsid w:val="00024594"/>
    <w:rPr>
      <w:rFonts w:ascii="Times New Roman" w:hAnsi="Times New Roman" w:cs="Times New Roman"/>
      <w:sz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8308A1"/>
    <w:rPr>
      <w:color w:val="605E5C"/>
      <w:shd w:val="clear" w:color="auto" w:fill="E1DFDD"/>
    </w:rPr>
  </w:style>
  <w:style w:type="table" w:styleId="TableGrid">
    <w:name w:val="Table Grid"/>
    <w:basedOn w:val="TableNormal"/>
    <w:uiPriority w:val="59"/>
    <w:rsid w:val="008308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48123">
      <w:bodyDiv w:val="1"/>
      <w:marLeft w:val="0"/>
      <w:marRight w:val="0"/>
      <w:marTop w:val="0"/>
      <w:marBottom w:val="0"/>
      <w:divBdr>
        <w:top w:val="none" w:sz="0" w:space="0" w:color="auto"/>
        <w:left w:val="none" w:sz="0" w:space="0" w:color="auto"/>
        <w:bottom w:val="none" w:sz="0" w:space="0" w:color="auto"/>
        <w:right w:val="none" w:sz="0" w:space="0" w:color="auto"/>
      </w:divBdr>
    </w:div>
    <w:div w:id="347176276">
      <w:bodyDiv w:val="1"/>
      <w:marLeft w:val="0"/>
      <w:marRight w:val="0"/>
      <w:marTop w:val="0"/>
      <w:marBottom w:val="0"/>
      <w:divBdr>
        <w:top w:val="none" w:sz="0" w:space="0" w:color="auto"/>
        <w:left w:val="none" w:sz="0" w:space="0" w:color="auto"/>
        <w:bottom w:val="none" w:sz="0" w:space="0" w:color="auto"/>
        <w:right w:val="none" w:sz="0" w:space="0" w:color="auto"/>
      </w:divBdr>
    </w:div>
    <w:div w:id="1926500320">
      <w:bodyDiv w:val="1"/>
      <w:marLeft w:val="0"/>
      <w:marRight w:val="0"/>
      <w:marTop w:val="0"/>
      <w:marBottom w:val="0"/>
      <w:divBdr>
        <w:top w:val="none" w:sz="0" w:space="0" w:color="auto"/>
        <w:left w:val="none" w:sz="0" w:space="0" w:color="auto"/>
        <w:bottom w:val="none" w:sz="0" w:space="0" w:color="auto"/>
        <w:right w:val="none" w:sz="0" w:space="0" w:color="auto"/>
      </w:divBdr>
    </w:div>
    <w:div w:id="20499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7BD1C5E30C642A03F332B15C430CF" ma:contentTypeVersion="13" ma:contentTypeDescription="Create a new document." ma:contentTypeScope="" ma:versionID="58e5b10f3346bda0b2e45a5fa9a9330c">
  <xsd:schema xmlns:xsd="http://www.w3.org/2001/XMLSchema" xmlns:xs="http://www.w3.org/2001/XMLSchema" xmlns:p="http://schemas.microsoft.com/office/2006/metadata/properties" xmlns:ns2="14eb2bff-78ef-4179-a7e9-a7f875c25016" xmlns:ns3="d0fb7c8d-032b-4a7d-b706-f9e6639b65fe" targetNamespace="http://schemas.microsoft.com/office/2006/metadata/properties" ma:root="true" ma:fieldsID="3e7811d50954e5786cbbfa31943792c4" ns2:_="" ns3:_="">
    <xsd:import namespace="14eb2bff-78ef-4179-a7e9-a7f875c25016"/>
    <xsd:import namespace="d0fb7c8d-032b-4a7d-b706-f9e6639b6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b2bff-78ef-4179-a7e9-a7f875c25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7c8d-032b-4a7d-b706-f9e6639b65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090428-BE0F-4DC7-B1B1-0634848DB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b2bff-78ef-4179-a7e9-a7f875c25016"/>
    <ds:schemaRef ds:uri="d0fb7c8d-032b-4a7d-b706-f9e6639b6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EF7D5-294C-44AD-85B4-5D1B037EA0C5}">
  <ds:schemaRefs>
    <ds:schemaRef ds:uri="http://schemas.microsoft.com/sharepoint/v3/contenttype/forms"/>
  </ds:schemaRefs>
</ds:datastoreItem>
</file>

<file path=customXml/itemProps3.xml><?xml version="1.0" encoding="utf-8"?>
<ds:datastoreItem xmlns:ds="http://schemas.openxmlformats.org/officeDocument/2006/customXml" ds:itemID="{422A49E7-CBC7-4312-B474-67AE70CCAA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1306</Words>
  <Characters>7447</Characters>
  <Application>Microsoft Office Word</Application>
  <DocSecurity>0</DocSecurity>
  <Lines>62</Lines>
  <Paragraphs>17</Paragraphs>
  <ScaleCrop>false</ScaleCrop>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Helm</dc:creator>
  <cp:keywords/>
  <dc:description/>
  <cp:lastModifiedBy>Brianne Heidbreder</cp:lastModifiedBy>
  <cp:revision>2</cp:revision>
  <cp:lastPrinted>2019-02-22T19:31:00Z</cp:lastPrinted>
  <dcterms:created xsi:type="dcterms:W3CDTF">2025-03-25T18:50:00Z</dcterms:created>
  <dcterms:modified xsi:type="dcterms:W3CDTF">2025-03-25T18:50:00Z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0x0101004D77BD1C5E30C642A03F332B15C430CF</vt:lpwstr>
  </property>
</Properties>
</file>