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54D" w:rsidRPr="00545F07" w:rsidRDefault="008D754D" w:rsidP="00E74C59">
      <w:pPr>
        <w:jc w:val="center"/>
        <w:rPr>
          <w:b/>
        </w:rPr>
      </w:pPr>
      <w:r w:rsidRPr="00545F07">
        <w:rPr>
          <w:b/>
        </w:rPr>
        <w:t>DEP</w:t>
      </w:r>
      <w:r w:rsidR="00545F07">
        <w:rPr>
          <w:b/>
        </w:rPr>
        <w:t>ARTMENT</w:t>
      </w:r>
      <w:r w:rsidR="00C30035">
        <w:rPr>
          <w:b/>
        </w:rPr>
        <w:t>AL</w:t>
      </w:r>
      <w:bookmarkStart w:id="0" w:name="_GoBack"/>
      <w:bookmarkEnd w:id="0"/>
      <w:r w:rsidRPr="00545F07">
        <w:rPr>
          <w:b/>
        </w:rPr>
        <w:t xml:space="preserve"> CHECKLIST FOR START OF A SPONSORED PROJECT</w:t>
      </w:r>
    </w:p>
    <w:tbl>
      <w:tblPr>
        <w:tblStyle w:val="TableGrid"/>
        <w:tblW w:w="0" w:type="auto"/>
        <w:tblLook w:val="04A0" w:firstRow="1" w:lastRow="0" w:firstColumn="1" w:lastColumn="0" w:noHBand="0" w:noVBand="1"/>
      </w:tblPr>
      <w:tblGrid>
        <w:gridCol w:w="3685"/>
        <w:gridCol w:w="10705"/>
      </w:tblGrid>
      <w:tr w:rsidR="00E54247" w:rsidTr="00E54247">
        <w:tc>
          <w:tcPr>
            <w:tcW w:w="3685" w:type="dxa"/>
          </w:tcPr>
          <w:p w:rsidR="00E54247" w:rsidRDefault="00E54247">
            <w:r>
              <w:t>FIS PROJECT #:</w:t>
            </w:r>
          </w:p>
        </w:tc>
        <w:tc>
          <w:tcPr>
            <w:tcW w:w="10705" w:type="dxa"/>
          </w:tcPr>
          <w:p w:rsidR="00E54247" w:rsidRDefault="00E54247">
            <w:r>
              <w:t>PROJECT TITLE:</w:t>
            </w:r>
          </w:p>
        </w:tc>
      </w:tr>
      <w:tr w:rsidR="00E54247" w:rsidTr="00E54247">
        <w:tc>
          <w:tcPr>
            <w:tcW w:w="3685" w:type="dxa"/>
          </w:tcPr>
          <w:p w:rsidR="00E54247" w:rsidRDefault="00E54247">
            <w:r>
              <w:t>FIS AWARD #:</w:t>
            </w:r>
          </w:p>
        </w:tc>
        <w:tc>
          <w:tcPr>
            <w:tcW w:w="10705" w:type="dxa"/>
          </w:tcPr>
          <w:p w:rsidR="00E54247" w:rsidRDefault="00E54247">
            <w:r>
              <w:t>PRINCIPAL INVESTIGATOR:</w:t>
            </w:r>
          </w:p>
        </w:tc>
      </w:tr>
    </w:tbl>
    <w:p w:rsidR="008D754D" w:rsidRDefault="008D754D" w:rsidP="00506800">
      <w:pPr>
        <w:spacing w:after="0"/>
      </w:pPr>
    </w:p>
    <w:tbl>
      <w:tblPr>
        <w:tblStyle w:val="TableGrid"/>
        <w:tblpPr w:leftFromText="180" w:rightFromText="180" w:vertAnchor="page" w:horzAnchor="margin" w:tblpY="3286"/>
        <w:tblW w:w="0" w:type="auto"/>
        <w:tblLook w:val="04A0" w:firstRow="1" w:lastRow="0" w:firstColumn="1" w:lastColumn="0" w:noHBand="0" w:noVBand="1"/>
      </w:tblPr>
      <w:tblGrid>
        <w:gridCol w:w="324"/>
        <w:gridCol w:w="359"/>
        <w:gridCol w:w="486"/>
        <w:gridCol w:w="12529"/>
      </w:tblGrid>
      <w:tr w:rsidR="00506800" w:rsidTr="00506800">
        <w:tc>
          <w:tcPr>
            <w:tcW w:w="324" w:type="dxa"/>
          </w:tcPr>
          <w:p w:rsidR="00506800" w:rsidRDefault="00506800" w:rsidP="00506800">
            <w:r>
              <w:t>Y</w:t>
            </w:r>
          </w:p>
        </w:tc>
        <w:tc>
          <w:tcPr>
            <w:tcW w:w="359" w:type="dxa"/>
          </w:tcPr>
          <w:p w:rsidR="00506800" w:rsidRDefault="00506800" w:rsidP="00506800">
            <w:r>
              <w:t>N</w:t>
            </w:r>
          </w:p>
        </w:tc>
        <w:tc>
          <w:tcPr>
            <w:tcW w:w="486" w:type="dxa"/>
          </w:tcPr>
          <w:p w:rsidR="00506800" w:rsidRDefault="00506800" w:rsidP="00506800">
            <w:r>
              <w:t>NA</w:t>
            </w:r>
          </w:p>
        </w:tc>
        <w:tc>
          <w:tcPr>
            <w:tcW w:w="12529" w:type="dxa"/>
          </w:tcPr>
          <w:p w:rsidR="00506800" w:rsidRDefault="00506800" w:rsidP="00506800"/>
        </w:tc>
      </w:tr>
      <w:tr w:rsidR="00506800" w:rsidTr="00506800">
        <w:tc>
          <w:tcPr>
            <w:tcW w:w="324" w:type="dxa"/>
          </w:tcPr>
          <w:p w:rsidR="00506800" w:rsidRDefault="00506800" w:rsidP="00506800"/>
        </w:tc>
        <w:tc>
          <w:tcPr>
            <w:tcW w:w="359" w:type="dxa"/>
          </w:tcPr>
          <w:p w:rsidR="00506800" w:rsidRDefault="00506800" w:rsidP="00506800"/>
        </w:tc>
        <w:tc>
          <w:tcPr>
            <w:tcW w:w="486" w:type="dxa"/>
          </w:tcPr>
          <w:p w:rsidR="00506800" w:rsidRDefault="00506800" w:rsidP="00506800"/>
        </w:tc>
        <w:tc>
          <w:tcPr>
            <w:tcW w:w="12529" w:type="dxa"/>
          </w:tcPr>
          <w:p w:rsidR="00506800" w:rsidRDefault="00506800" w:rsidP="00506800">
            <w:r>
              <w:t>Fully read contract and place a copy of the contract in the department files.</w:t>
            </w:r>
          </w:p>
        </w:tc>
      </w:tr>
      <w:tr w:rsidR="00506800" w:rsidTr="00506800">
        <w:tc>
          <w:tcPr>
            <w:tcW w:w="324" w:type="dxa"/>
          </w:tcPr>
          <w:p w:rsidR="00506800" w:rsidRDefault="00506800" w:rsidP="00506800"/>
        </w:tc>
        <w:tc>
          <w:tcPr>
            <w:tcW w:w="359" w:type="dxa"/>
          </w:tcPr>
          <w:p w:rsidR="00506800" w:rsidRDefault="00506800" w:rsidP="00506800"/>
        </w:tc>
        <w:tc>
          <w:tcPr>
            <w:tcW w:w="486" w:type="dxa"/>
          </w:tcPr>
          <w:p w:rsidR="00506800" w:rsidRDefault="00506800" w:rsidP="00506800"/>
        </w:tc>
        <w:tc>
          <w:tcPr>
            <w:tcW w:w="12529" w:type="dxa"/>
          </w:tcPr>
          <w:p w:rsidR="00506800" w:rsidRDefault="00506800" w:rsidP="00506800">
            <w:r>
              <w:t>Fully understand terms of contract.</w:t>
            </w:r>
          </w:p>
        </w:tc>
      </w:tr>
      <w:tr w:rsidR="00506800" w:rsidTr="00506800">
        <w:tc>
          <w:tcPr>
            <w:tcW w:w="324" w:type="dxa"/>
          </w:tcPr>
          <w:p w:rsidR="00506800" w:rsidRDefault="00506800" w:rsidP="00506800"/>
        </w:tc>
        <w:tc>
          <w:tcPr>
            <w:tcW w:w="359" w:type="dxa"/>
          </w:tcPr>
          <w:p w:rsidR="00506800" w:rsidRDefault="00506800" w:rsidP="00506800"/>
        </w:tc>
        <w:tc>
          <w:tcPr>
            <w:tcW w:w="486" w:type="dxa"/>
          </w:tcPr>
          <w:p w:rsidR="00506800" w:rsidRDefault="00506800" w:rsidP="00506800"/>
        </w:tc>
        <w:tc>
          <w:tcPr>
            <w:tcW w:w="12529" w:type="dxa"/>
          </w:tcPr>
          <w:p w:rsidR="00506800" w:rsidRDefault="00506800" w:rsidP="00506800">
            <w:r>
              <w:t xml:space="preserve">PI knows account number (or other mutually agreeable identifier to clearly communicate the proper project to the </w:t>
            </w:r>
            <w:proofErr w:type="spellStart"/>
            <w:r>
              <w:t>dept</w:t>
            </w:r>
            <w:proofErr w:type="spellEnd"/>
            <w:r>
              <w:t xml:space="preserve"> business office)</w:t>
            </w:r>
          </w:p>
        </w:tc>
      </w:tr>
      <w:tr w:rsidR="00506800" w:rsidTr="00506800">
        <w:tc>
          <w:tcPr>
            <w:tcW w:w="324" w:type="dxa"/>
          </w:tcPr>
          <w:p w:rsidR="00506800" w:rsidRDefault="00506800" w:rsidP="00506800"/>
        </w:tc>
        <w:tc>
          <w:tcPr>
            <w:tcW w:w="359" w:type="dxa"/>
          </w:tcPr>
          <w:p w:rsidR="00506800" w:rsidRDefault="00506800" w:rsidP="00506800"/>
        </w:tc>
        <w:tc>
          <w:tcPr>
            <w:tcW w:w="486" w:type="dxa"/>
          </w:tcPr>
          <w:p w:rsidR="00506800" w:rsidRDefault="00506800" w:rsidP="00506800"/>
        </w:tc>
        <w:tc>
          <w:tcPr>
            <w:tcW w:w="12529" w:type="dxa"/>
          </w:tcPr>
          <w:p w:rsidR="00506800" w:rsidRDefault="00506800" w:rsidP="003C4A9C">
            <w:r>
              <w:t xml:space="preserve">Determine if contract is fixed cost or cost reimbursable. </w:t>
            </w:r>
            <w:r w:rsidR="003C4A9C">
              <w:t xml:space="preserve">SPA handles the invoicing.  This is meaningful to the </w:t>
            </w:r>
            <w:proofErr w:type="spellStart"/>
            <w:r w:rsidR="003C4A9C">
              <w:t>dept</w:t>
            </w:r>
            <w:proofErr w:type="spellEnd"/>
            <w:r w:rsidR="003C4A9C">
              <w:t xml:space="preserve"> because it will indicate whether or not your </w:t>
            </w:r>
            <w:proofErr w:type="spellStart"/>
            <w:r w:rsidR="003C4A9C">
              <w:t>dept</w:t>
            </w:r>
            <w:proofErr w:type="spellEnd"/>
            <w:r w:rsidR="003C4A9C">
              <w:t xml:space="preserve"> will keep unused funds. </w:t>
            </w:r>
            <w:r>
              <w:t xml:space="preserve">Most are cost reimbursable meaning that KSU invoices and receives funds after services or purchases are charged to the FIS account.  Fixed price has set payment amounts based on </w:t>
            </w:r>
            <w:proofErr w:type="spellStart"/>
            <w:r>
              <w:t>milestsones</w:t>
            </w:r>
            <w:proofErr w:type="spellEnd"/>
            <w:r>
              <w:t xml:space="preserve"> or deliverables and KSU keeps any excess funds.  Caution: Some awards use the term “fixed price” to mean that the budget is fixed</w:t>
            </w:r>
            <w:r w:rsidR="003C4A9C">
              <w:t>, not necessarily that you keep unexpended funds.</w:t>
            </w:r>
            <w:r>
              <w:t xml:space="preserve">  You have to carefully read the terms and conditions.</w:t>
            </w:r>
            <w:r w:rsidR="002E7F37">
              <w:t xml:space="preserve">  </w:t>
            </w:r>
          </w:p>
        </w:tc>
      </w:tr>
      <w:tr w:rsidR="00506800" w:rsidTr="00506800">
        <w:tc>
          <w:tcPr>
            <w:tcW w:w="324" w:type="dxa"/>
          </w:tcPr>
          <w:p w:rsidR="00506800" w:rsidRDefault="00506800" w:rsidP="00506800"/>
        </w:tc>
        <w:tc>
          <w:tcPr>
            <w:tcW w:w="359" w:type="dxa"/>
          </w:tcPr>
          <w:p w:rsidR="00506800" w:rsidRDefault="00506800" w:rsidP="00506800"/>
        </w:tc>
        <w:tc>
          <w:tcPr>
            <w:tcW w:w="486" w:type="dxa"/>
          </w:tcPr>
          <w:p w:rsidR="00506800" w:rsidRDefault="00506800" w:rsidP="00506800"/>
        </w:tc>
        <w:tc>
          <w:tcPr>
            <w:tcW w:w="12529" w:type="dxa"/>
          </w:tcPr>
          <w:p w:rsidR="00506800" w:rsidRDefault="00506800" w:rsidP="00506800">
            <w:r>
              <w:t>Department administrator has original budget worksheet and budget justification.</w:t>
            </w:r>
          </w:p>
        </w:tc>
      </w:tr>
      <w:tr w:rsidR="00506800" w:rsidTr="00506800">
        <w:tc>
          <w:tcPr>
            <w:tcW w:w="324" w:type="dxa"/>
          </w:tcPr>
          <w:p w:rsidR="00506800" w:rsidRDefault="00506800" w:rsidP="00506800"/>
        </w:tc>
        <w:tc>
          <w:tcPr>
            <w:tcW w:w="359" w:type="dxa"/>
          </w:tcPr>
          <w:p w:rsidR="00506800" w:rsidRDefault="00506800" w:rsidP="00506800"/>
        </w:tc>
        <w:tc>
          <w:tcPr>
            <w:tcW w:w="486" w:type="dxa"/>
          </w:tcPr>
          <w:p w:rsidR="00506800" w:rsidRDefault="00506800" w:rsidP="00506800"/>
        </w:tc>
        <w:tc>
          <w:tcPr>
            <w:tcW w:w="12529" w:type="dxa"/>
          </w:tcPr>
          <w:p w:rsidR="00506800" w:rsidRDefault="00506800" w:rsidP="00506800">
            <w:r>
              <w:t>Discuss expected timing of expenses (note any departmental salary savings).</w:t>
            </w:r>
          </w:p>
        </w:tc>
      </w:tr>
      <w:tr w:rsidR="00506800" w:rsidTr="00506800">
        <w:tc>
          <w:tcPr>
            <w:tcW w:w="324" w:type="dxa"/>
          </w:tcPr>
          <w:p w:rsidR="00506800" w:rsidRDefault="00506800" w:rsidP="00506800"/>
        </w:tc>
        <w:tc>
          <w:tcPr>
            <w:tcW w:w="359" w:type="dxa"/>
          </w:tcPr>
          <w:p w:rsidR="00506800" w:rsidRDefault="00506800" w:rsidP="00506800"/>
        </w:tc>
        <w:tc>
          <w:tcPr>
            <w:tcW w:w="486" w:type="dxa"/>
          </w:tcPr>
          <w:p w:rsidR="00506800" w:rsidRDefault="00506800" w:rsidP="00506800"/>
        </w:tc>
        <w:tc>
          <w:tcPr>
            <w:tcW w:w="12529" w:type="dxa"/>
          </w:tcPr>
          <w:p w:rsidR="00506800" w:rsidRDefault="00506800" w:rsidP="00781589">
            <w:r>
              <w:t xml:space="preserve">PI understands that </w:t>
            </w:r>
            <w:r w:rsidR="00781589">
              <w:t>she or he</w:t>
            </w:r>
            <w:r>
              <w:t xml:space="preserve"> will be responsible for covering expenses not deemed allowable, allocable and reasonable.</w:t>
            </w:r>
          </w:p>
        </w:tc>
      </w:tr>
      <w:tr w:rsidR="00506800" w:rsidTr="00506800">
        <w:tc>
          <w:tcPr>
            <w:tcW w:w="324" w:type="dxa"/>
          </w:tcPr>
          <w:p w:rsidR="00506800" w:rsidRDefault="00506800" w:rsidP="00506800"/>
        </w:tc>
        <w:tc>
          <w:tcPr>
            <w:tcW w:w="359" w:type="dxa"/>
          </w:tcPr>
          <w:p w:rsidR="00506800" w:rsidRDefault="00506800" w:rsidP="00506800"/>
        </w:tc>
        <w:tc>
          <w:tcPr>
            <w:tcW w:w="486" w:type="dxa"/>
          </w:tcPr>
          <w:p w:rsidR="00506800" w:rsidRDefault="00506800" w:rsidP="00506800"/>
        </w:tc>
        <w:tc>
          <w:tcPr>
            <w:tcW w:w="12529" w:type="dxa"/>
          </w:tcPr>
          <w:p w:rsidR="00506800" w:rsidRDefault="00506800" w:rsidP="00506800">
            <w:r>
              <w:t>Discuss needed purchase of service arrangements for off-campus services and consultants.  If over $5000, contact Purchasing.  After Purchasing approval, contact PreAward Services to execute a service or consulting agreement.  Formal agreements are required to protect the award budget, the PI, and the university.</w:t>
            </w:r>
          </w:p>
        </w:tc>
      </w:tr>
      <w:tr w:rsidR="00506800" w:rsidTr="00506800">
        <w:tc>
          <w:tcPr>
            <w:tcW w:w="324" w:type="dxa"/>
          </w:tcPr>
          <w:p w:rsidR="00506800" w:rsidRDefault="00506800" w:rsidP="00506800"/>
        </w:tc>
        <w:tc>
          <w:tcPr>
            <w:tcW w:w="359" w:type="dxa"/>
          </w:tcPr>
          <w:p w:rsidR="00506800" w:rsidRDefault="00506800" w:rsidP="00506800"/>
        </w:tc>
        <w:tc>
          <w:tcPr>
            <w:tcW w:w="486" w:type="dxa"/>
          </w:tcPr>
          <w:p w:rsidR="00506800" w:rsidRDefault="00506800" w:rsidP="00506800"/>
        </w:tc>
        <w:tc>
          <w:tcPr>
            <w:tcW w:w="12529" w:type="dxa"/>
          </w:tcPr>
          <w:p w:rsidR="00506800" w:rsidRDefault="00506800" w:rsidP="00506800">
            <w:proofErr w:type="spellStart"/>
            <w:r>
              <w:t>Subawards</w:t>
            </w:r>
            <w:proofErr w:type="spellEnd"/>
            <w:r>
              <w:t xml:space="preserve"> included in budget?  If so, contact PreAward Services to execute a </w:t>
            </w:r>
            <w:proofErr w:type="spellStart"/>
            <w:r>
              <w:t>subaward</w:t>
            </w:r>
            <w:proofErr w:type="spellEnd"/>
            <w:r>
              <w:t xml:space="preserve"> agreement.</w:t>
            </w:r>
          </w:p>
        </w:tc>
      </w:tr>
      <w:tr w:rsidR="00506800" w:rsidTr="00506800">
        <w:tc>
          <w:tcPr>
            <w:tcW w:w="324" w:type="dxa"/>
          </w:tcPr>
          <w:p w:rsidR="00506800" w:rsidRDefault="00506800" w:rsidP="00506800"/>
        </w:tc>
        <w:tc>
          <w:tcPr>
            <w:tcW w:w="359" w:type="dxa"/>
          </w:tcPr>
          <w:p w:rsidR="00506800" w:rsidRDefault="00506800" w:rsidP="00506800"/>
        </w:tc>
        <w:tc>
          <w:tcPr>
            <w:tcW w:w="486" w:type="dxa"/>
          </w:tcPr>
          <w:p w:rsidR="00506800" w:rsidRDefault="00506800" w:rsidP="00506800"/>
        </w:tc>
        <w:tc>
          <w:tcPr>
            <w:tcW w:w="12529" w:type="dxa"/>
          </w:tcPr>
          <w:p w:rsidR="00506800" w:rsidRDefault="00506800" w:rsidP="00506800">
            <w:r>
              <w:t xml:space="preserve">Read and understand the terms of each </w:t>
            </w:r>
            <w:proofErr w:type="spellStart"/>
            <w:r>
              <w:t>subaward</w:t>
            </w:r>
            <w:proofErr w:type="spellEnd"/>
            <w:r>
              <w:t>, consulting or service agreement.</w:t>
            </w:r>
          </w:p>
        </w:tc>
      </w:tr>
      <w:tr w:rsidR="00506800" w:rsidTr="00506800">
        <w:tc>
          <w:tcPr>
            <w:tcW w:w="324" w:type="dxa"/>
          </w:tcPr>
          <w:p w:rsidR="00506800" w:rsidRDefault="00506800" w:rsidP="00506800"/>
        </w:tc>
        <w:tc>
          <w:tcPr>
            <w:tcW w:w="359" w:type="dxa"/>
          </w:tcPr>
          <w:p w:rsidR="00506800" w:rsidRDefault="00506800" w:rsidP="00506800"/>
        </w:tc>
        <w:tc>
          <w:tcPr>
            <w:tcW w:w="486" w:type="dxa"/>
          </w:tcPr>
          <w:p w:rsidR="00506800" w:rsidRDefault="00506800" w:rsidP="00506800"/>
        </w:tc>
        <w:tc>
          <w:tcPr>
            <w:tcW w:w="12529" w:type="dxa"/>
          </w:tcPr>
          <w:p w:rsidR="00506800" w:rsidRDefault="00506800" w:rsidP="00506800">
            <w:r>
              <w:t xml:space="preserve">Schedule of required reports from </w:t>
            </w:r>
            <w:proofErr w:type="spellStart"/>
            <w:r>
              <w:t>subrecipients</w:t>
            </w:r>
            <w:proofErr w:type="spellEnd"/>
            <w:r>
              <w:t xml:space="preserve"> are on PI or departmental calendar.</w:t>
            </w:r>
          </w:p>
        </w:tc>
      </w:tr>
      <w:tr w:rsidR="00506800" w:rsidTr="00506800">
        <w:tc>
          <w:tcPr>
            <w:tcW w:w="324" w:type="dxa"/>
          </w:tcPr>
          <w:p w:rsidR="00506800" w:rsidRDefault="00506800" w:rsidP="00506800"/>
        </w:tc>
        <w:tc>
          <w:tcPr>
            <w:tcW w:w="359" w:type="dxa"/>
          </w:tcPr>
          <w:p w:rsidR="00506800" w:rsidRDefault="00506800" w:rsidP="00506800"/>
        </w:tc>
        <w:tc>
          <w:tcPr>
            <w:tcW w:w="486" w:type="dxa"/>
          </w:tcPr>
          <w:p w:rsidR="00506800" w:rsidRDefault="00506800" w:rsidP="00506800"/>
        </w:tc>
        <w:tc>
          <w:tcPr>
            <w:tcW w:w="12529" w:type="dxa"/>
          </w:tcPr>
          <w:p w:rsidR="00506800" w:rsidRDefault="00506800" w:rsidP="00506800">
            <w:r>
              <w:t>Schedule of required reports to sponsor are on the PI or departmental calendar. Programmatic reports are PI responsibility.  Financial reports are prepared by Sponsored Programs Accounting (SPA) with assistance from departmental administrator.</w:t>
            </w:r>
          </w:p>
        </w:tc>
      </w:tr>
      <w:tr w:rsidR="00506800" w:rsidTr="00506800">
        <w:tc>
          <w:tcPr>
            <w:tcW w:w="324" w:type="dxa"/>
          </w:tcPr>
          <w:p w:rsidR="00506800" w:rsidRDefault="00506800" w:rsidP="00506800"/>
        </w:tc>
        <w:tc>
          <w:tcPr>
            <w:tcW w:w="359" w:type="dxa"/>
          </w:tcPr>
          <w:p w:rsidR="00506800" w:rsidRDefault="00506800" w:rsidP="00506800"/>
        </w:tc>
        <w:tc>
          <w:tcPr>
            <w:tcW w:w="486" w:type="dxa"/>
          </w:tcPr>
          <w:p w:rsidR="00506800" w:rsidRDefault="00506800" w:rsidP="00506800"/>
        </w:tc>
        <w:tc>
          <w:tcPr>
            <w:tcW w:w="12529" w:type="dxa"/>
          </w:tcPr>
          <w:p w:rsidR="00506800" w:rsidRDefault="00506800" w:rsidP="00506800">
            <w:r>
              <w:t>Mechanism for monthly financial account review by PI discussed and marked on PI calendar.  Any payment transfers should be completed within 90 days of original purchase so MONTHLY review of expenditures is critical.</w:t>
            </w:r>
          </w:p>
        </w:tc>
      </w:tr>
      <w:tr w:rsidR="00506800" w:rsidTr="00506800">
        <w:tc>
          <w:tcPr>
            <w:tcW w:w="324" w:type="dxa"/>
          </w:tcPr>
          <w:p w:rsidR="00506800" w:rsidRDefault="00506800" w:rsidP="00506800"/>
        </w:tc>
        <w:tc>
          <w:tcPr>
            <w:tcW w:w="359" w:type="dxa"/>
          </w:tcPr>
          <w:p w:rsidR="00506800" w:rsidRDefault="00506800" w:rsidP="00506800"/>
        </w:tc>
        <w:tc>
          <w:tcPr>
            <w:tcW w:w="486" w:type="dxa"/>
          </w:tcPr>
          <w:p w:rsidR="00506800" w:rsidRDefault="00506800" w:rsidP="00506800"/>
        </w:tc>
        <w:tc>
          <w:tcPr>
            <w:tcW w:w="12529" w:type="dxa"/>
          </w:tcPr>
          <w:p w:rsidR="00506800" w:rsidRDefault="00506800" w:rsidP="00506800">
            <w:r>
              <w:t xml:space="preserve">PI understands departmental purchasing policy. </w:t>
            </w:r>
          </w:p>
        </w:tc>
      </w:tr>
      <w:tr w:rsidR="00506800" w:rsidTr="00506800">
        <w:tc>
          <w:tcPr>
            <w:tcW w:w="324" w:type="dxa"/>
          </w:tcPr>
          <w:p w:rsidR="00506800" w:rsidRDefault="00506800" w:rsidP="00506800"/>
        </w:tc>
        <w:tc>
          <w:tcPr>
            <w:tcW w:w="359" w:type="dxa"/>
          </w:tcPr>
          <w:p w:rsidR="00506800" w:rsidRDefault="00506800" w:rsidP="00506800"/>
        </w:tc>
        <w:tc>
          <w:tcPr>
            <w:tcW w:w="486" w:type="dxa"/>
          </w:tcPr>
          <w:p w:rsidR="00506800" w:rsidRDefault="00506800" w:rsidP="00506800"/>
        </w:tc>
        <w:tc>
          <w:tcPr>
            <w:tcW w:w="12529" w:type="dxa"/>
          </w:tcPr>
          <w:p w:rsidR="00506800" w:rsidRDefault="00506800" w:rsidP="00506800">
            <w:r>
              <w:t>PI understands her/his fiscal responsibilities.</w:t>
            </w:r>
          </w:p>
        </w:tc>
      </w:tr>
      <w:tr w:rsidR="00506800" w:rsidTr="00506800">
        <w:tc>
          <w:tcPr>
            <w:tcW w:w="324" w:type="dxa"/>
          </w:tcPr>
          <w:p w:rsidR="00506800" w:rsidRDefault="00506800" w:rsidP="00506800"/>
        </w:tc>
        <w:tc>
          <w:tcPr>
            <w:tcW w:w="359" w:type="dxa"/>
          </w:tcPr>
          <w:p w:rsidR="00506800" w:rsidRDefault="00506800" w:rsidP="00506800"/>
        </w:tc>
        <w:tc>
          <w:tcPr>
            <w:tcW w:w="486" w:type="dxa"/>
          </w:tcPr>
          <w:p w:rsidR="00506800" w:rsidRDefault="00506800" w:rsidP="00506800"/>
        </w:tc>
        <w:tc>
          <w:tcPr>
            <w:tcW w:w="12529" w:type="dxa"/>
          </w:tcPr>
          <w:p w:rsidR="00506800" w:rsidRDefault="00506800" w:rsidP="00506800">
            <w:r>
              <w:t>PI and departmental administrator understand cost share and matching requirements.</w:t>
            </w:r>
          </w:p>
        </w:tc>
      </w:tr>
      <w:tr w:rsidR="00506800" w:rsidTr="00506800">
        <w:tc>
          <w:tcPr>
            <w:tcW w:w="324" w:type="dxa"/>
          </w:tcPr>
          <w:p w:rsidR="00506800" w:rsidRDefault="00506800" w:rsidP="00506800"/>
        </w:tc>
        <w:tc>
          <w:tcPr>
            <w:tcW w:w="359" w:type="dxa"/>
          </w:tcPr>
          <w:p w:rsidR="00506800" w:rsidRDefault="00506800" w:rsidP="00506800"/>
        </w:tc>
        <w:tc>
          <w:tcPr>
            <w:tcW w:w="486" w:type="dxa"/>
          </w:tcPr>
          <w:p w:rsidR="00506800" w:rsidRDefault="00506800" w:rsidP="00506800"/>
        </w:tc>
        <w:tc>
          <w:tcPr>
            <w:tcW w:w="12529" w:type="dxa"/>
          </w:tcPr>
          <w:p w:rsidR="00506800" w:rsidRDefault="00506800" w:rsidP="00506800">
            <w:r>
              <w:t>PI understands timeframe for reporting to administrator any changes in effort her/his effort or that of personnel working on project.  Effort percentages needed for direct charging payroll (if applicable) and for reporting any cost share required (if applicable).</w:t>
            </w:r>
          </w:p>
        </w:tc>
      </w:tr>
      <w:tr w:rsidR="00506800" w:rsidTr="00506800">
        <w:tc>
          <w:tcPr>
            <w:tcW w:w="324" w:type="dxa"/>
          </w:tcPr>
          <w:p w:rsidR="00506800" w:rsidRDefault="00506800" w:rsidP="00506800"/>
        </w:tc>
        <w:tc>
          <w:tcPr>
            <w:tcW w:w="359" w:type="dxa"/>
          </w:tcPr>
          <w:p w:rsidR="00506800" w:rsidRDefault="00506800" w:rsidP="00506800"/>
        </w:tc>
        <w:tc>
          <w:tcPr>
            <w:tcW w:w="486" w:type="dxa"/>
          </w:tcPr>
          <w:p w:rsidR="00506800" w:rsidRDefault="00506800" w:rsidP="00506800"/>
        </w:tc>
        <w:tc>
          <w:tcPr>
            <w:tcW w:w="12529" w:type="dxa"/>
          </w:tcPr>
          <w:p w:rsidR="00506800" w:rsidRDefault="00506800" w:rsidP="00506800">
            <w:r>
              <w:t>PI understands form and process for effort reporting.</w:t>
            </w:r>
          </w:p>
        </w:tc>
      </w:tr>
      <w:tr w:rsidR="00506800" w:rsidTr="00506800">
        <w:tc>
          <w:tcPr>
            <w:tcW w:w="324" w:type="dxa"/>
          </w:tcPr>
          <w:p w:rsidR="00506800" w:rsidRDefault="00506800" w:rsidP="00506800"/>
        </w:tc>
        <w:tc>
          <w:tcPr>
            <w:tcW w:w="359" w:type="dxa"/>
          </w:tcPr>
          <w:p w:rsidR="00506800" w:rsidRDefault="00506800" w:rsidP="00506800"/>
        </w:tc>
        <w:tc>
          <w:tcPr>
            <w:tcW w:w="486" w:type="dxa"/>
          </w:tcPr>
          <w:p w:rsidR="00506800" w:rsidRDefault="00506800" w:rsidP="00506800"/>
        </w:tc>
        <w:tc>
          <w:tcPr>
            <w:tcW w:w="12529" w:type="dxa"/>
          </w:tcPr>
          <w:p w:rsidR="00506800" w:rsidRDefault="00506800" w:rsidP="00506800">
            <w:r>
              <w:t>PI has an incentive account and understands management and allowable expenses.</w:t>
            </w:r>
          </w:p>
        </w:tc>
      </w:tr>
    </w:tbl>
    <w:p w:rsidR="00E74C59" w:rsidRDefault="00E54247" w:rsidP="00506800">
      <w:pPr>
        <w:spacing w:after="0"/>
      </w:pPr>
      <w:r w:rsidRPr="00C87732">
        <w:t xml:space="preserve">The following items are suggested best practices for successful financial management of a sponsored project.  </w:t>
      </w:r>
      <w:r w:rsidR="00C87732">
        <w:t>Fully understanding the items on this checklist can help alleviate future problems and make for a smoother project period for both the departmental business office and the PI.  The department can decide how best to disseminate this</w:t>
      </w:r>
      <w:r>
        <w:t xml:space="preserve"> information.  </w:t>
      </w:r>
    </w:p>
    <w:sectPr w:rsidR="00E74C59" w:rsidSect="000704E1">
      <w:footerReference w:type="default" r:id="rId6"/>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96E" w:rsidRDefault="0041796E" w:rsidP="0041796E">
      <w:pPr>
        <w:spacing w:after="0" w:line="240" w:lineRule="auto"/>
      </w:pPr>
      <w:r>
        <w:separator/>
      </w:r>
    </w:p>
  </w:endnote>
  <w:endnote w:type="continuationSeparator" w:id="0">
    <w:p w:rsidR="0041796E" w:rsidRDefault="0041796E" w:rsidP="00417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3C9" w:rsidRPr="005623C9" w:rsidRDefault="005623C9">
    <w:pPr>
      <w:pStyle w:val="Footer"/>
    </w:pPr>
    <w:r>
      <w:t>SPA Revised May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96E" w:rsidRDefault="0041796E" w:rsidP="0041796E">
      <w:pPr>
        <w:spacing w:after="0" w:line="240" w:lineRule="auto"/>
      </w:pPr>
      <w:r>
        <w:separator/>
      </w:r>
    </w:p>
  </w:footnote>
  <w:footnote w:type="continuationSeparator" w:id="0">
    <w:p w:rsidR="0041796E" w:rsidRDefault="0041796E" w:rsidP="004179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ED"/>
    <w:rsid w:val="00064B79"/>
    <w:rsid w:val="000704E1"/>
    <w:rsid w:val="00127FE3"/>
    <w:rsid w:val="001E41F2"/>
    <w:rsid w:val="002D11EB"/>
    <w:rsid w:val="002E7F37"/>
    <w:rsid w:val="002F2FA5"/>
    <w:rsid w:val="003C4A9C"/>
    <w:rsid w:val="0041796E"/>
    <w:rsid w:val="0046285D"/>
    <w:rsid w:val="00506800"/>
    <w:rsid w:val="00540091"/>
    <w:rsid w:val="00545F07"/>
    <w:rsid w:val="005623C9"/>
    <w:rsid w:val="005C0943"/>
    <w:rsid w:val="00620562"/>
    <w:rsid w:val="006C402F"/>
    <w:rsid w:val="006C5894"/>
    <w:rsid w:val="00757FFB"/>
    <w:rsid w:val="00775D59"/>
    <w:rsid w:val="00781589"/>
    <w:rsid w:val="00801370"/>
    <w:rsid w:val="008B5258"/>
    <w:rsid w:val="008D754D"/>
    <w:rsid w:val="008F1A69"/>
    <w:rsid w:val="009473DC"/>
    <w:rsid w:val="00B5133A"/>
    <w:rsid w:val="00B81AED"/>
    <w:rsid w:val="00C30035"/>
    <w:rsid w:val="00C87732"/>
    <w:rsid w:val="00CD15F8"/>
    <w:rsid w:val="00E219E7"/>
    <w:rsid w:val="00E54247"/>
    <w:rsid w:val="00E74C59"/>
    <w:rsid w:val="00F239C3"/>
    <w:rsid w:val="00FE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8A4CBAA-3015-4F8E-95AE-A81B970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AED"/>
    <w:rPr>
      <w:rFonts w:ascii="Tahoma" w:hAnsi="Tahoma" w:cs="Tahoma"/>
      <w:sz w:val="16"/>
      <w:szCs w:val="16"/>
    </w:rPr>
  </w:style>
  <w:style w:type="paragraph" w:styleId="Header">
    <w:name w:val="header"/>
    <w:basedOn w:val="Normal"/>
    <w:link w:val="HeaderChar"/>
    <w:uiPriority w:val="99"/>
    <w:unhideWhenUsed/>
    <w:rsid w:val="00417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96E"/>
  </w:style>
  <w:style w:type="paragraph" w:styleId="Footer">
    <w:name w:val="footer"/>
    <w:basedOn w:val="Normal"/>
    <w:link w:val="FooterChar"/>
    <w:uiPriority w:val="99"/>
    <w:unhideWhenUsed/>
    <w:rsid w:val="00417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Laura Hohenbary</cp:lastModifiedBy>
  <cp:revision>9</cp:revision>
  <cp:lastPrinted>2015-02-19T18:07:00Z</cp:lastPrinted>
  <dcterms:created xsi:type="dcterms:W3CDTF">2015-04-29T14:56:00Z</dcterms:created>
  <dcterms:modified xsi:type="dcterms:W3CDTF">2015-05-19T14:01:00Z</dcterms:modified>
</cp:coreProperties>
</file>