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C6C4" w14:textId="0B2FF13A" w:rsid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November 6, 2025</w:t>
      </w:r>
    </w:p>
    <w:p w14:paraId="043A5811" w14:textId="77777777" w:rsid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</w:pPr>
    </w:p>
    <w:p w14:paraId="20A5ECDC" w14:textId="75882D2F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Greetings Faculty Senate Leadership-</w:t>
      </w:r>
    </w:p>
    <w:p w14:paraId="187C654D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</w:t>
      </w:r>
    </w:p>
    <w:p w14:paraId="77470958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We are writing to inform you that we are denying the changes to D71 in the University Handbook voted upon by Faculty Senate on June 10, 2025. </w:t>
      </w:r>
    </w:p>
    <w:p w14:paraId="7B3E7505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</w:t>
      </w:r>
    </w:p>
    <w:p w14:paraId="261C2AFE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As part of our ongoing commitment to data security and regulatory compliance, we want to provide context regarding the university’s practices around account access for individuals no longer employed by K-State.</w:t>
      </w:r>
    </w:p>
    <w:p w14:paraId="21AA1496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14E48ED1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Under both </w:t>
      </w: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state and federal policies</w:t>
      </w: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, we are required to </w:t>
      </w: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limit access to university systems</w:t>
      </w: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, including email, once an individual’s employment ends. This ensures we remain compliant with cybersecurity frameworks and privacy laws that apply to all public institutions.</w:t>
      </w:r>
    </w:p>
    <w:p w14:paraId="1F47B6FA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 </w:t>
      </w:r>
    </w:p>
    <w:p w14:paraId="1D436080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Why This Matters</w:t>
      </w:r>
    </w:p>
    <w:p w14:paraId="3CD9D382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We recognize the contributions of our faculty and staff and have worked to develop </w:t>
      </w: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compensating controls</w:t>
      </w: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 xml:space="preserve"> that allow a small number of former employees, who have ongoing university, research, or academic commitments, continued email access under tightly managed circumstances. However, broadening </w:t>
      </w:r>
      <w:proofErr w:type="gramStart"/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access—</w:t>
      </w:r>
      <w:proofErr w:type="gramEnd"/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for example, by granting indefinite email privileges to all retirees with five or more years of service—</w:t>
      </w: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would bypass these safeguards and place the university at risk</w:t>
      </w: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.</w:t>
      </w:r>
    </w:p>
    <w:p w14:paraId="0B94073C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 </w:t>
      </w:r>
    </w:p>
    <w:p w14:paraId="48E63694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From a compliance standpoint, we must adhere to several key standards:</w:t>
      </w:r>
    </w:p>
    <w:p w14:paraId="42C8A4EE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14:ligatures w14:val="none"/>
        </w:rPr>
        <w:t> </w:t>
      </w:r>
    </w:p>
    <w:p w14:paraId="266C1E25" w14:textId="77777777" w:rsidR="00BC67EF" w:rsidRPr="00BC67EF" w:rsidRDefault="00BC67EF" w:rsidP="00BC67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State of Kansas IT Policy 7230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 explicitly requires timely deactivation of user accounts upon separation. </w:t>
      </w:r>
      <w:hyperlink r:id="rId5" w:tgtFrame="_blank" w:tooltip="https://www.ebit.ks.gov/home/showpublisheddocument/1429/638688055788900000" w:history="1">
        <w:r w:rsidRPr="00BC67EF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View policy</w:t>
        </w:r>
      </w:hyperlink>
    </w:p>
    <w:p w14:paraId="1CCD498F" w14:textId="77777777" w:rsidR="00BC67EF" w:rsidRPr="00BC67EF" w:rsidRDefault="00BC67EF" w:rsidP="00BC67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Federal laws and frameworks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, including:</w:t>
      </w:r>
    </w:p>
    <w:p w14:paraId="0A8BBDCE" w14:textId="77777777" w:rsidR="00BC67EF" w:rsidRPr="00BC67EF" w:rsidRDefault="00BC67EF" w:rsidP="00BC67E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FERPA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 (student privacy)</w:t>
      </w:r>
    </w:p>
    <w:p w14:paraId="2DFD4CEC" w14:textId="77777777" w:rsidR="00BC67EF" w:rsidRPr="00BC67EF" w:rsidRDefault="00BC67EF" w:rsidP="00BC67E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CUI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 (Controlled Unclassified Information)</w:t>
      </w:r>
    </w:p>
    <w:p w14:paraId="697CBF57" w14:textId="77777777" w:rsidR="00BC67EF" w:rsidRPr="00BC67EF" w:rsidRDefault="00BC67EF" w:rsidP="00BC67E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GLBA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 (Gramm-Leach-Bliley Act for financial data)</w:t>
      </w:r>
    </w:p>
    <w:p w14:paraId="71C562FD" w14:textId="77777777" w:rsidR="00BC67EF" w:rsidRPr="00BC67EF" w:rsidRDefault="00BC67EF" w:rsidP="00BC67EF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b/>
          <w:bCs/>
          <w:color w:val="242424"/>
          <w:kern w:val="0"/>
          <w14:ligatures w14:val="none"/>
        </w:rPr>
        <w:t>NIST Cybersecurity Framework (CSF)</w:t>
      </w: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 – now formally adopted by </w:t>
      </w:r>
      <w:hyperlink r:id="rId6" w:tgtFrame="_blank" w:tooltip="https://www.kansasregents.gov/about/policies-by-laws-missions/board_policy_manual_2/chapter_ii_governance_state_universities_2" w:history="1">
        <w:r w:rsidRPr="00BC67EF">
          <w:rPr>
            <w:rFonts w:ascii="Aptos" w:eastAsia="Times New Roman" w:hAnsi="Aptos" w:cs="Segoe UI"/>
            <w:color w:val="0000FF"/>
            <w:kern w:val="0"/>
            <w:u w:val="single"/>
            <w:bdr w:val="none" w:sz="0" w:space="0" w:color="auto" w:frame="1"/>
            <w14:ligatures w14:val="none"/>
          </w:rPr>
          <w:t>KBOR</w:t>
        </w:r>
      </w:hyperlink>
    </w:p>
    <w:p w14:paraId="3C7383D0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 </w:t>
      </w:r>
    </w:p>
    <w:p w14:paraId="36949ECD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These frameworks require immediate deactivation of email and system access upon employee departure. Allowing ongoing access—even with good intent—could compromise sensitive institutional and personal data.</w:t>
      </w:r>
    </w:p>
    <w:p w14:paraId="7E9CE8F3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242424"/>
          <w:kern w:val="0"/>
          <w:bdr w:val="none" w:sz="0" w:space="0" w:color="auto" w:frame="1"/>
          <w14:ligatures w14:val="none"/>
        </w:rPr>
        <w:t> </w:t>
      </w:r>
    </w:p>
    <w:p w14:paraId="64A1A13F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b/>
          <w:bCs/>
          <w:color w:val="242424"/>
          <w:kern w:val="0"/>
          <w:bdr w:val="none" w:sz="0" w:space="0" w:color="auto" w:frame="1"/>
          <w14:ligatures w14:val="none"/>
        </w:rPr>
        <w:t>Key Requirements Upon Separation Include:</w:t>
      </w:r>
    </w:p>
    <w:p w14:paraId="27B3C82D" w14:textId="77777777" w:rsidR="00BC67EF" w:rsidRPr="00BC67EF" w:rsidRDefault="00BC67EF" w:rsidP="00BC67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Immediate deactivation of university email and system access (including VPN, MFA, and SSO).</w:t>
      </w:r>
    </w:p>
    <w:p w14:paraId="37133B78" w14:textId="77777777" w:rsidR="00BC67EF" w:rsidRPr="00BC67EF" w:rsidRDefault="00BC67EF" w:rsidP="00BC67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t>Email retention is handled through institutional archiving policies—not via continued access to accounts.</w:t>
      </w:r>
    </w:p>
    <w:p w14:paraId="77DD2B41" w14:textId="77777777" w:rsidR="00BC67EF" w:rsidRPr="00BC67EF" w:rsidRDefault="00BC67EF" w:rsidP="00BC67E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ptos" w:eastAsia="Times New Roman" w:hAnsi="Aptos" w:cs="Segoe UI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Segoe UI"/>
          <w:color w:val="242424"/>
          <w:kern w:val="0"/>
          <w14:ligatures w14:val="none"/>
        </w:rPr>
        <w:lastRenderedPageBreak/>
        <w:t>Admin and sensitive access must be disabled and reviewed immediately to protect institutional data.</w:t>
      </w:r>
    </w:p>
    <w:p w14:paraId="7AD15372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</w:t>
      </w:r>
    </w:p>
    <w:p w14:paraId="4B7B3FEA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Best-</w:t>
      </w:r>
    </w:p>
    <w:p w14:paraId="524FC574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Jesse Perez Mendez</w:t>
      </w: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br/>
        <w:t>Provost and Executive Vice President</w:t>
      </w:r>
    </w:p>
    <w:p w14:paraId="5956DDFD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 </w:t>
      </w:r>
    </w:p>
    <w:p w14:paraId="748F0D7F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Ethan Erickson</w:t>
      </w:r>
    </w:p>
    <w:p w14:paraId="2F05B221" w14:textId="77777777" w:rsidR="00BC67EF" w:rsidRPr="00BC67EF" w:rsidRDefault="00BC67EF" w:rsidP="00BC67E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14:ligatures w14:val="none"/>
        </w:rPr>
      </w:pPr>
      <w:r w:rsidRPr="00BC67EF">
        <w:rPr>
          <w:rFonts w:ascii="Aptos" w:eastAsia="Times New Roman" w:hAnsi="Aptos" w:cs="Times New Roman"/>
          <w:color w:val="000000"/>
          <w:kern w:val="0"/>
          <w:bdr w:val="none" w:sz="0" w:space="0" w:color="auto" w:frame="1"/>
          <w14:ligatures w14:val="none"/>
        </w:rPr>
        <w:t>Vice President for Administration and Finance</w:t>
      </w:r>
    </w:p>
    <w:p w14:paraId="13BCE83B" w14:textId="77777777" w:rsidR="00EE453A" w:rsidRDefault="00EE453A"/>
    <w:sectPr w:rsidR="00EE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017F4"/>
    <w:multiLevelType w:val="multilevel"/>
    <w:tmpl w:val="1E78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0D3EEC"/>
    <w:multiLevelType w:val="multilevel"/>
    <w:tmpl w:val="4B7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7973995">
    <w:abstractNumId w:val="1"/>
  </w:num>
  <w:num w:numId="2" w16cid:durableId="27467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EF"/>
    <w:rsid w:val="0005312C"/>
    <w:rsid w:val="00334177"/>
    <w:rsid w:val="00BA52E4"/>
    <w:rsid w:val="00BC67EF"/>
    <w:rsid w:val="00C66093"/>
    <w:rsid w:val="00D93351"/>
    <w:rsid w:val="00DE76F4"/>
    <w:rsid w:val="00E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35AD5"/>
  <w15:chartTrackingRefBased/>
  <w15:docId w15:val="{9237E134-DA12-4487-8258-E583BD45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sasregents.gov/about/policies-by-laws-missions/board_policy_manual_2/chapter_ii_governance_state_universities_2" TargetMode="External"/><Relationship Id="rId5" Type="http://schemas.openxmlformats.org/officeDocument/2006/relationships/hyperlink" Target="https://www.ebit.ks.gov/home/showpublisheddocument/1429/6386880557889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2340</Characters>
  <Application>Microsoft Office Word</Application>
  <DocSecurity>8</DocSecurity>
  <Lines>65</Lines>
  <Paragraphs>32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Renberg</dc:creator>
  <cp:keywords/>
  <dc:description/>
  <cp:lastModifiedBy>Susanne Renberg</cp:lastModifiedBy>
  <cp:revision>2</cp:revision>
  <dcterms:created xsi:type="dcterms:W3CDTF">2025-11-17T17:09:00Z</dcterms:created>
  <dcterms:modified xsi:type="dcterms:W3CDTF">2025-11-17T17:09:00Z</dcterms:modified>
</cp:coreProperties>
</file>