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F9CD" w14:textId="02B6A220" w:rsidR="00976A9A" w:rsidRPr="006B739E" w:rsidRDefault="003F0B2E" w:rsidP="007173FA">
      <w:pPr>
        <w:pStyle w:val="Heading2"/>
      </w:pPr>
      <w:r w:rsidRPr="006B739E">
        <w:t>Notes</w:t>
      </w:r>
      <w:r w:rsidR="00D60084">
        <w:t>:</w:t>
      </w:r>
      <w:r w:rsidRPr="006B739E">
        <w:t xml:space="preserve"> February 2024</w:t>
      </w:r>
    </w:p>
    <w:p w14:paraId="09260943" w14:textId="115ACB6C" w:rsidR="00976A9A" w:rsidRPr="006B739E" w:rsidRDefault="00976A9A" w:rsidP="000F006D">
      <w:pPr>
        <w:pStyle w:val="ListParagraph"/>
        <w:numPr>
          <w:ilvl w:val="0"/>
          <w:numId w:val="1"/>
        </w:numPr>
      </w:pPr>
      <w:r w:rsidRPr="006B739E">
        <w:t xml:space="preserve">He </w:t>
      </w:r>
      <w:r w:rsidR="00272E5D" w:rsidRPr="00272E5D">
        <w:t xml:space="preserve">Appendix </w:t>
      </w:r>
      <w:r w:rsidRPr="006B739E">
        <w:t>B</w:t>
      </w:r>
    </w:p>
    <w:p w14:paraId="133E1660" w14:textId="403A22EE" w:rsidR="00976A9A" w:rsidRPr="006B739E" w:rsidRDefault="00976A9A" w:rsidP="000F006D">
      <w:pPr>
        <w:pStyle w:val="ListParagraph"/>
        <w:numPr>
          <w:ilvl w:val="0"/>
          <w:numId w:val="1"/>
        </w:numPr>
      </w:pPr>
      <w:proofErr w:type="spellStart"/>
      <w:r w:rsidRPr="006B739E">
        <w:t>He/She</w:t>
      </w:r>
      <w:proofErr w:type="spellEnd"/>
      <w:r w:rsidRPr="006B739E">
        <w:t xml:space="preserve"> </w:t>
      </w:r>
      <w:r w:rsidR="00272E5D" w:rsidRPr="00272E5D">
        <w:t xml:space="preserve">Appendices </w:t>
      </w:r>
      <w:r w:rsidRPr="006B739E">
        <w:t>C, F, K, M, O, S, V, W</w:t>
      </w:r>
    </w:p>
    <w:p w14:paraId="4FED1BD8" w14:textId="2965A68D" w:rsidR="00976A9A" w:rsidRPr="006B739E" w:rsidRDefault="00976A9A" w:rsidP="000F006D">
      <w:pPr>
        <w:pStyle w:val="ListParagraph"/>
        <w:numPr>
          <w:ilvl w:val="0"/>
          <w:numId w:val="1"/>
        </w:numPr>
      </w:pPr>
      <w:r w:rsidRPr="006B739E">
        <w:t xml:space="preserve">He or She </w:t>
      </w:r>
      <w:r w:rsidR="00272E5D" w:rsidRPr="00272E5D">
        <w:t xml:space="preserve">Appendices </w:t>
      </w:r>
      <w:r w:rsidRPr="006B739E">
        <w:t>F, S, V, W</w:t>
      </w:r>
    </w:p>
    <w:p w14:paraId="5652056F" w14:textId="187319A7" w:rsidR="00976A9A" w:rsidRPr="006B739E" w:rsidRDefault="00976A9A" w:rsidP="000F006D">
      <w:pPr>
        <w:pStyle w:val="ListParagraph"/>
        <w:numPr>
          <w:ilvl w:val="0"/>
          <w:numId w:val="1"/>
        </w:numPr>
      </w:pPr>
      <w:r w:rsidRPr="006B739E">
        <w:t xml:space="preserve">She or He </w:t>
      </w:r>
      <w:r w:rsidR="00272E5D" w:rsidRPr="00272E5D">
        <w:t xml:space="preserve">Appendix </w:t>
      </w:r>
      <w:r w:rsidRPr="006B739E">
        <w:t>F</w:t>
      </w:r>
    </w:p>
    <w:p w14:paraId="23A7569B" w14:textId="36FD1662" w:rsidR="00976A9A" w:rsidRPr="006B739E" w:rsidRDefault="00976A9A" w:rsidP="000F006D">
      <w:pPr>
        <w:pStyle w:val="ListParagraph"/>
        <w:numPr>
          <w:ilvl w:val="0"/>
          <w:numId w:val="1"/>
        </w:numPr>
      </w:pPr>
      <w:proofErr w:type="spellStart"/>
      <w:r w:rsidRPr="006B739E">
        <w:t>Him/Her</w:t>
      </w:r>
      <w:proofErr w:type="spellEnd"/>
      <w:r w:rsidRPr="006B739E">
        <w:t xml:space="preserve"> </w:t>
      </w:r>
      <w:r w:rsidR="00272E5D" w:rsidRPr="00272E5D">
        <w:t xml:space="preserve">Appendices </w:t>
      </w:r>
      <w:r w:rsidRPr="006B739E">
        <w:t>C, K</w:t>
      </w:r>
    </w:p>
    <w:p w14:paraId="03264314" w14:textId="3BF29825" w:rsidR="00976A9A" w:rsidRPr="006B739E" w:rsidRDefault="00976A9A" w:rsidP="000F006D">
      <w:pPr>
        <w:pStyle w:val="ListParagraph"/>
        <w:numPr>
          <w:ilvl w:val="0"/>
          <w:numId w:val="1"/>
        </w:numPr>
      </w:pPr>
      <w:r w:rsidRPr="006B739E">
        <w:t xml:space="preserve">Him or Her </w:t>
      </w:r>
      <w:r w:rsidR="00272E5D" w:rsidRPr="00272E5D">
        <w:t xml:space="preserve">Appendix </w:t>
      </w:r>
      <w:r w:rsidRPr="006B739E">
        <w:t>K</w:t>
      </w:r>
    </w:p>
    <w:p w14:paraId="6DE806F7" w14:textId="0C9060FD" w:rsidR="00976A9A" w:rsidRPr="006B739E" w:rsidRDefault="00976A9A" w:rsidP="000F006D">
      <w:pPr>
        <w:pStyle w:val="ListParagraph"/>
        <w:numPr>
          <w:ilvl w:val="0"/>
          <w:numId w:val="1"/>
        </w:numPr>
      </w:pPr>
      <w:proofErr w:type="spellStart"/>
      <w:r w:rsidRPr="006B739E">
        <w:t>His/Her</w:t>
      </w:r>
      <w:proofErr w:type="spellEnd"/>
      <w:r w:rsidRPr="006B739E">
        <w:t xml:space="preserve"> </w:t>
      </w:r>
      <w:r w:rsidR="00272E5D" w:rsidRPr="00272E5D">
        <w:t xml:space="preserve">Appendices </w:t>
      </w:r>
      <w:r w:rsidRPr="006B739E">
        <w:t>E, Q</w:t>
      </w:r>
    </w:p>
    <w:p w14:paraId="7960347B" w14:textId="127012BB" w:rsidR="00976A9A" w:rsidRPr="006B739E" w:rsidRDefault="00976A9A" w:rsidP="000F006D">
      <w:pPr>
        <w:pStyle w:val="ListParagraph"/>
        <w:numPr>
          <w:ilvl w:val="0"/>
          <w:numId w:val="1"/>
        </w:numPr>
      </w:pPr>
      <w:r w:rsidRPr="006B739E">
        <w:t xml:space="preserve">His or Her </w:t>
      </w:r>
      <w:r w:rsidR="00272E5D" w:rsidRPr="00272E5D">
        <w:t xml:space="preserve">Appendices </w:t>
      </w:r>
      <w:r w:rsidRPr="006B739E">
        <w:t>G, J</w:t>
      </w:r>
    </w:p>
    <w:p w14:paraId="2AF50C82" w14:textId="0E20E04B" w:rsidR="00976A9A" w:rsidRPr="006B739E" w:rsidRDefault="00976A9A" w:rsidP="000F006D">
      <w:pPr>
        <w:pStyle w:val="ListParagraph"/>
        <w:numPr>
          <w:ilvl w:val="0"/>
          <w:numId w:val="1"/>
        </w:numPr>
      </w:pPr>
      <w:r w:rsidRPr="006B739E">
        <w:t xml:space="preserve">Himself or Herself </w:t>
      </w:r>
      <w:r w:rsidR="00272E5D" w:rsidRPr="00272E5D">
        <w:t xml:space="preserve">Appendix </w:t>
      </w:r>
      <w:r w:rsidRPr="006B739E">
        <w:t>V</w:t>
      </w:r>
    </w:p>
    <w:p w14:paraId="27E9DE3B" w14:textId="20C1B85B" w:rsidR="003D0D99" w:rsidRDefault="003D0D99" w:rsidP="005F0587">
      <w:pPr>
        <w:pStyle w:val="Heading2"/>
      </w:pPr>
      <w:r w:rsidRPr="007173FA">
        <w:t xml:space="preserve">University Handbook </w:t>
      </w:r>
      <w:bookmarkStart w:id="0" w:name="_Hlk192599391"/>
      <w:r w:rsidR="00620DD3">
        <w:t>Appendices</w:t>
      </w:r>
      <w:r>
        <w:t xml:space="preserve"> </w:t>
      </w:r>
      <w:bookmarkEnd w:id="0"/>
      <w:r>
        <w:t>A-</w:t>
      </w:r>
      <w:r w:rsidR="00620DD3">
        <w:t>Z</w:t>
      </w:r>
      <w:r>
        <w:t xml:space="preserve"> </w:t>
      </w:r>
      <w:r w:rsidRPr="007173FA">
        <w:t>Updates</w:t>
      </w:r>
    </w:p>
    <w:p w14:paraId="2CE33B7E" w14:textId="246E29B7" w:rsidR="000F3FA4" w:rsidRDefault="00E72609" w:rsidP="000F006D">
      <w:pPr>
        <w:pStyle w:val="Heading3"/>
      </w:pPr>
      <w:r w:rsidRPr="00E72609">
        <w:t xml:space="preserve">University Handbook, Appendix </w:t>
      </w:r>
      <w:r w:rsidR="00630A75">
        <w:t>B: Financial Exi</w:t>
      </w:r>
      <w:r w:rsidR="000F3FA4">
        <w:t>gency</w:t>
      </w:r>
    </w:p>
    <w:p w14:paraId="769FF474" w14:textId="59DA3B74" w:rsidR="000F3FA4" w:rsidRDefault="00A70281" w:rsidP="000F3FA4">
      <w:pPr>
        <w:pStyle w:val="Heading4"/>
      </w:pPr>
      <w:r w:rsidRPr="00A70281">
        <w:t>Part X: Attachment B</w:t>
      </w:r>
      <w:r>
        <w:t xml:space="preserve">. </w:t>
      </w:r>
      <w:r w:rsidR="007B2DF8">
        <w:t>9.</w:t>
      </w:r>
    </w:p>
    <w:p w14:paraId="6F2DA4A0" w14:textId="55C0046E" w:rsidR="00E46163" w:rsidRPr="00E46163" w:rsidRDefault="21A1774B" w:rsidP="00E46163">
      <w:r w:rsidRPr="30921E80">
        <w:rPr>
          <w:b/>
          <w:bCs/>
        </w:rPr>
        <w:t>Original:</w:t>
      </w:r>
      <w:r>
        <w:t xml:space="preserve"> </w:t>
      </w:r>
      <w:r w:rsidR="2097C09C">
        <w:t xml:space="preserve">When a faculty member who has held tenure can be offered only a term appointment following a merger, </w:t>
      </w:r>
      <w:r w:rsidR="2097C09C" w:rsidRPr="30921E80">
        <w:rPr>
          <w:b/>
          <w:bCs/>
        </w:rPr>
        <w:t>he</w:t>
      </w:r>
      <w:r w:rsidR="2097C09C">
        <w:t xml:space="preserve"> should have the alternative of resigning and receiving at least a year of severance salary.</w:t>
      </w:r>
    </w:p>
    <w:p w14:paraId="4ECFE86D" w14:textId="0B145AE7" w:rsidR="21A1774B" w:rsidRDefault="21A1774B">
      <w:r w:rsidRPr="30921E80">
        <w:rPr>
          <w:b/>
          <w:bCs/>
        </w:rPr>
        <w:t>Revised:</w:t>
      </w:r>
      <w:r w:rsidR="34037DAB" w:rsidRPr="30921E80">
        <w:rPr>
          <w:b/>
          <w:bCs/>
        </w:rPr>
        <w:t xml:space="preserve"> </w:t>
      </w:r>
      <w:r w:rsidR="34037DAB">
        <w:t xml:space="preserve">When a faculty member who has held tenure can be offered only a term appointment following a merger, </w:t>
      </w:r>
      <w:r w:rsidR="34037DAB" w:rsidRPr="30921E80">
        <w:rPr>
          <w:b/>
          <w:bCs/>
        </w:rPr>
        <w:t>the same faculty member</w:t>
      </w:r>
      <w:r w:rsidR="34037DAB">
        <w:t xml:space="preserve"> should have the alternative of resigning and receiving at least a year of severance salary.</w:t>
      </w:r>
    </w:p>
    <w:p w14:paraId="29E8F3C6" w14:textId="54F8CA6A" w:rsidR="00F11063" w:rsidRDefault="00F11063" w:rsidP="00F11063">
      <w:pPr>
        <w:pStyle w:val="Heading4"/>
        <w:rPr>
          <w:b/>
          <w:i w:val="0"/>
          <w:iCs w:val="0"/>
          <w:color w:val="auto"/>
          <w:sz w:val="28"/>
          <w:szCs w:val="28"/>
        </w:rPr>
      </w:pPr>
      <w:r w:rsidRPr="00F11063">
        <w:rPr>
          <w:b/>
          <w:i w:val="0"/>
          <w:iCs w:val="0"/>
          <w:color w:val="auto"/>
          <w:sz w:val="28"/>
          <w:szCs w:val="28"/>
        </w:rPr>
        <w:t>University Handbook, Appendix C:</w:t>
      </w:r>
      <w:r>
        <w:rPr>
          <w:b/>
          <w:i w:val="0"/>
          <w:iCs w:val="0"/>
          <w:color w:val="auto"/>
          <w:sz w:val="28"/>
          <w:szCs w:val="28"/>
        </w:rPr>
        <w:t xml:space="preserve"> </w:t>
      </w:r>
      <w:r w:rsidRPr="00F11063">
        <w:rPr>
          <w:b/>
          <w:i w:val="0"/>
          <w:iCs w:val="0"/>
          <w:color w:val="auto"/>
          <w:sz w:val="28"/>
          <w:szCs w:val="28"/>
        </w:rPr>
        <w:t>Academic Freedom and Tenure</w:t>
      </w:r>
    </w:p>
    <w:p w14:paraId="75FF5760" w14:textId="42B1CE30" w:rsidR="007F559D" w:rsidRDefault="00630F00" w:rsidP="00630F00">
      <w:pPr>
        <w:pStyle w:val="Heading4"/>
      </w:pPr>
      <w:r w:rsidRPr="00630F00">
        <w:t>Academic Tenure</w:t>
      </w:r>
      <w:r>
        <w:t xml:space="preserve"> </w:t>
      </w:r>
      <w:r w:rsidR="007F559D">
        <w:t>4.</w:t>
      </w:r>
    </w:p>
    <w:p w14:paraId="499D0B95" w14:textId="42F9B6B2" w:rsidR="00E46163" w:rsidRPr="00E46163" w:rsidRDefault="1FD584B9" w:rsidP="00E46163">
      <w:r w:rsidRPr="30921E80">
        <w:rPr>
          <w:b/>
          <w:bCs/>
        </w:rPr>
        <w:t>Original:</w:t>
      </w:r>
      <w:r>
        <w:t xml:space="preserve"> In all cases where the facts are in dispute, the accused teacher should be informed before the hearing in writing of the charges against </w:t>
      </w:r>
      <w:r w:rsidRPr="30921E80">
        <w:rPr>
          <w:b/>
          <w:bCs/>
        </w:rPr>
        <w:t>him/her</w:t>
      </w:r>
      <w:r>
        <w:t xml:space="preserve"> and should have the opportunity to be heard in </w:t>
      </w:r>
      <w:r w:rsidRPr="30921E80">
        <w:rPr>
          <w:b/>
          <w:bCs/>
        </w:rPr>
        <w:t>his/her</w:t>
      </w:r>
      <w:r>
        <w:t xml:space="preserve"> own defense by all bodies that pass judgment upon the case. </w:t>
      </w:r>
      <w:r w:rsidRPr="30921E80">
        <w:rPr>
          <w:b/>
          <w:bCs/>
        </w:rPr>
        <w:t>He/she</w:t>
      </w:r>
      <w:r>
        <w:t xml:space="preserve"> should be permitted to have an advisor of </w:t>
      </w:r>
      <w:r w:rsidRPr="30921E80">
        <w:rPr>
          <w:b/>
          <w:bCs/>
        </w:rPr>
        <w:t>his/her</w:t>
      </w:r>
      <w:r>
        <w:t xml:space="preserve"> own choosing who may act as counsel. There should be a full stenographic record of the hearing available to the parties concerned. In the hearing of charges of incompetence, the testimony should include that of teachers and other scholars, either from </w:t>
      </w:r>
      <w:r w:rsidRPr="30921E80">
        <w:rPr>
          <w:b/>
          <w:bCs/>
        </w:rPr>
        <w:t>his/her</w:t>
      </w:r>
      <w:r>
        <w:t xml:space="preserve"> own or from other institutions.</w:t>
      </w:r>
    </w:p>
    <w:p w14:paraId="4D310668" w14:textId="15EE0B5B" w:rsidR="1FD584B9" w:rsidRDefault="1FD584B9">
      <w:r w:rsidRPr="30921E80">
        <w:rPr>
          <w:b/>
          <w:bCs/>
        </w:rPr>
        <w:t>Revised:</w:t>
      </w:r>
      <w:r>
        <w:t xml:space="preserve"> </w:t>
      </w:r>
      <w:r w:rsidR="17C964A5">
        <w:t xml:space="preserve">In all cases where the facts are in dispute, the accused teacher should </w:t>
      </w:r>
      <w:r w:rsidR="17C964A5" w:rsidRPr="30921E80">
        <w:rPr>
          <w:b/>
          <w:bCs/>
        </w:rPr>
        <w:t>receive written notification of the charges</w:t>
      </w:r>
      <w:r w:rsidR="17C964A5">
        <w:t xml:space="preserve"> before the hearing and should have the opportunity </w:t>
      </w:r>
      <w:r w:rsidR="17C964A5" w:rsidRPr="30921E80">
        <w:rPr>
          <w:b/>
          <w:bCs/>
        </w:rPr>
        <w:t xml:space="preserve">to present a defense </w:t>
      </w:r>
      <w:r w:rsidR="0020252B">
        <w:rPr>
          <w:b/>
          <w:bCs/>
        </w:rPr>
        <w:t xml:space="preserve">on their own behalf </w:t>
      </w:r>
      <w:r w:rsidR="17C964A5" w:rsidRPr="30921E80">
        <w:rPr>
          <w:b/>
          <w:bCs/>
        </w:rPr>
        <w:t xml:space="preserve">before all bodies making a </w:t>
      </w:r>
      <w:r w:rsidR="17C964A5">
        <w:t xml:space="preserve">judgment on the case. </w:t>
      </w:r>
      <w:r w:rsidR="17C964A5" w:rsidRPr="30921E80">
        <w:rPr>
          <w:b/>
          <w:bCs/>
        </w:rPr>
        <w:t>The accused should be allowed</w:t>
      </w:r>
      <w:r w:rsidR="17C964A5">
        <w:t xml:space="preserve"> to have an advisor of </w:t>
      </w:r>
      <w:r w:rsidR="00244F26" w:rsidRPr="009B1D98">
        <w:rPr>
          <w:b/>
          <w:bCs/>
        </w:rPr>
        <w:t>their</w:t>
      </w:r>
      <w:r w:rsidR="00244F26">
        <w:t xml:space="preserve"> own choosing</w:t>
      </w:r>
      <w:r w:rsidR="17C964A5">
        <w:t xml:space="preserve"> who may act as counsel. There should be a full stenographic record of the hearing available to the parties concerned. In the hearing of charges of incompetence, the testimony should include that of teachers and other scholars, either from </w:t>
      </w:r>
      <w:r w:rsidR="17C964A5" w:rsidRPr="30921E80">
        <w:rPr>
          <w:b/>
          <w:bCs/>
        </w:rPr>
        <w:t>the accused’s</w:t>
      </w:r>
      <w:r w:rsidR="17C964A5">
        <w:t xml:space="preserve"> own or from other institutions.</w:t>
      </w:r>
    </w:p>
    <w:p w14:paraId="3735157D" w14:textId="1E14119E" w:rsidR="00E87D1F" w:rsidRDefault="00697FE0" w:rsidP="00697FE0">
      <w:pPr>
        <w:pStyle w:val="Heading3"/>
      </w:pPr>
      <w:r>
        <w:lastRenderedPageBreak/>
        <w:t>University Handbook, Appendix E: Faculty Senate Constitution</w:t>
      </w:r>
    </w:p>
    <w:p w14:paraId="1135A2C6" w14:textId="08D06967" w:rsidR="00D56093" w:rsidRDefault="00D56093" w:rsidP="001E2934">
      <w:pPr>
        <w:pStyle w:val="Heading4"/>
      </w:pPr>
      <w:r>
        <w:t>Article III. Faculty Senate Organization Section A. Officers</w:t>
      </w:r>
      <w:r w:rsidR="005C5635">
        <w:t xml:space="preserve"> 1.</w:t>
      </w:r>
    </w:p>
    <w:p w14:paraId="3F7E862D" w14:textId="48E97E35" w:rsidR="005C5635" w:rsidRDefault="005C5635" w:rsidP="005C5635">
      <w:r w:rsidRPr="00393635">
        <w:rPr>
          <w:b/>
          <w:bCs/>
        </w:rPr>
        <w:t>Original</w:t>
      </w:r>
      <w:r>
        <w:t xml:space="preserve"> </w:t>
      </w:r>
      <w:r w:rsidRPr="005C5635">
        <w:t>his/her</w:t>
      </w:r>
    </w:p>
    <w:p w14:paraId="0058AF72" w14:textId="375C157D" w:rsidR="00393635" w:rsidRPr="005C5635" w:rsidRDefault="00393635" w:rsidP="005C5635">
      <w:r w:rsidRPr="00393635">
        <w:rPr>
          <w:b/>
          <w:bCs/>
        </w:rPr>
        <w:t>Revised</w:t>
      </w:r>
      <w:r>
        <w:t>: the</w:t>
      </w:r>
      <w:r w:rsidR="007E6889">
        <w:t xml:space="preserve"> respective</w:t>
      </w:r>
    </w:p>
    <w:p w14:paraId="5EB1857F" w14:textId="61AFFACB" w:rsidR="00792257" w:rsidRDefault="005A5117" w:rsidP="003275F2">
      <w:pPr>
        <w:pStyle w:val="Heading3"/>
      </w:pPr>
      <w:hyperlink r:id="rId8" w:history="1">
        <w:r w:rsidRPr="00637C00">
          <w:t>University Handbook</w:t>
        </w:r>
        <w:r w:rsidR="00D75EAB" w:rsidRPr="00637C00">
          <w:t xml:space="preserve">, </w:t>
        </w:r>
        <w:bookmarkStart w:id="1" w:name="_Hlk192599352"/>
        <w:r w:rsidRPr="00637C00">
          <w:t xml:space="preserve">Appendix </w:t>
        </w:r>
        <w:bookmarkEnd w:id="1"/>
        <w:r w:rsidRPr="00637C00">
          <w:t>F</w:t>
        </w:r>
        <w:r w:rsidR="00D75EAB" w:rsidRPr="00637C00">
          <w:t xml:space="preserve">: </w:t>
        </w:r>
        <w:r w:rsidRPr="00637C00">
          <w:t xml:space="preserve">Academic </w:t>
        </w:r>
        <w:r w:rsidR="00D75EAB" w:rsidRPr="00637C00">
          <w:t xml:space="preserve">Conduct, Academic Honesty, </w:t>
        </w:r>
        <w:r w:rsidR="00D75EAB">
          <w:t>a</w:t>
        </w:r>
        <w:r w:rsidR="00D75EAB" w:rsidRPr="00637C00">
          <w:t>nd Honor System Constitution</w:t>
        </w:r>
      </w:hyperlink>
    </w:p>
    <w:p w14:paraId="1A727AF4" w14:textId="36AA7597" w:rsidR="001909A9" w:rsidRDefault="0830985D" w:rsidP="00831493">
      <w:pPr>
        <w:pStyle w:val="Heading4"/>
      </w:pPr>
      <w:r>
        <w:t>I</w:t>
      </w:r>
      <w:r w:rsidR="2031F0B1">
        <w:t xml:space="preserve">. Academic Conduct </w:t>
      </w:r>
      <w:r w:rsidR="4850C5FD">
        <w:t>A</w:t>
      </w:r>
      <w:r w:rsidR="02A75B45">
        <w:t>.</w:t>
      </w:r>
      <w:r w:rsidR="2B1338A9">
        <w:t>2</w:t>
      </w:r>
    </w:p>
    <w:p w14:paraId="41970E1D" w14:textId="0AAB7EC0" w:rsidR="00DC54AD" w:rsidRDefault="5194B1B5" w:rsidP="30921E80">
      <w:r w:rsidRPr="30921E80">
        <w:rPr>
          <w:b/>
          <w:bCs/>
        </w:rPr>
        <w:t>Original:</w:t>
      </w:r>
      <w:r w:rsidR="770CDB44" w:rsidRPr="30921E80">
        <w:rPr>
          <w:b/>
          <w:bCs/>
        </w:rPr>
        <w:t xml:space="preserve"> </w:t>
      </w:r>
      <w:r w:rsidR="770CDB44">
        <w:t xml:space="preserve">The right to have information about </w:t>
      </w:r>
      <w:r w:rsidR="770CDB44" w:rsidRPr="30921E80">
        <w:rPr>
          <w:b/>
          <w:bCs/>
        </w:rPr>
        <w:t>his or her</w:t>
      </w:r>
      <w:r w:rsidR="770CDB44">
        <w:t xml:space="preserve"> opinions and associations acquired by professors and administrators </w:t>
      </w:r>
      <w:r w:rsidR="770CDB44" w:rsidRPr="30921E80">
        <w:rPr>
          <w:b/>
          <w:bCs/>
        </w:rPr>
        <w:t>in the course of their work</w:t>
      </w:r>
      <w:r w:rsidR="770CDB44">
        <w:t xml:space="preserve"> as instructors, advisors, and counselors </w:t>
      </w:r>
      <w:r w:rsidR="770CDB44" w:rsidRPr="30921E80">
        <w:rPr>
          <w:b/>
          <w:bCs/>
        </w:rPr>
        <w:t>held</w:t>
      </w:r>
      <w:r w:rsidR="770CDB44">
        <w:t xml:space="preserve"> confidential and not disclosed to others unless by the student's consent.</w:t>
      </w:r>
    </w:p>
    <w:p w14:paraId="6EF16646" w14:textId="4D2A1B86" w:rsidR="00DC54AD" w:rsidRDefault="5194B1B5" w:rsidP="30921E80">
      <w:r w:rsidRPr="30921E80">
        <w:rPr>
          <w:b/>
          <w:bCs/>
        </w:rPr>
        <w:t>Revised:</w:t>
      </w:r>
      <w:r w:rsidR="770F94CA" w:rsidRPr="30921E80">
        <w:rPr>
          <w:b/>
          <w:bCs/>
        </w:rPr>
        <w:t xml:space="preserve"> </w:t>
      </w:r>
      <w:r w:rsidR="770F94CA">
        <w:t xml:space="preserve">The right to have information about opinions and associations acquired by professors and administrators </w:t>
      </w:r>
      <w:r w:rsidR="770F94CA" w:rsidRPr="30921E80">
        <w:rPr>
          <w:b/>
          <w:bCs/>
        </w:rPr>
        <w:t>in the</w:t>
      </w:r>
      <w:r w:rsidR="61F40271" w:rsidRPr="30921E80">
        <w:rPr>
          <w:b/>
          <w:bCs/>
        </w:rPr>
        <w:t>ir roles</w:t>
      </w:r>
      <w:r w:rsidR="770F94CA">
        <w:t xml:space="preserve"> as instructors, advisors, and counselors </w:t>
      </w:r>
      <w:r w:rsidR="6E679CC2" w:rsidRPr="30921E80">
        <w:rPr>
          <w:b/>
          <w:bCs/>
        </w:rPr>
        <w:t>kept</w:t>
      </w:r>
      <w:r w:rsidR="770F94CA">
        <w:t xml:space="preserve"> confidential and not disclosed to others unless by the student's consent.</w:t>
      </w:r>
      <w:r w:rsidR="33723214">
        <w:t xml:space="preserve"> </w:t>
      </w:r>
    </w:p>
    <w:p w14:paraId="446DF3E7" w14:textId="760ABD1A" w:rsidR="004C4C3F" w:rsidRDefault="004C4C3F" w:rsidP="004C4C3F">
      <w:pPr>
        <w:pStyle w:val="Heading4"/>
      </w:pPr>
      <w:r>
        <w:t xml:space="preserve">I. Academic Conduct </w:t>
      </w:r>
      <w:r w:rsidR="00B80C1E">
        <w:t>A</w:t>
      </w:r>
      <w:r>
        <w:t>.</w:t>
      </w:r>
      <w:r w:rsidR="00B80C1E">
        <w:t>3</w:t>
      </w:r>
    </w:p>
    <w:p w14:paraId="0E3A7AD1" w14:textId="705FF1D8" w:rsidR="00B80C1E" w:rsidRDefault="4C462A17" w:rsidP="30921E80">
      <w:pPr>
        <w:rPr>
          <w:b/>
          <w:bCs/>
        </w:rPr>
      </w:pPr>
      <w:r w:rsidRPr="30921E80">
        <w:rPr>
          <w:b/>
          <w:bCs/>
        </w:rPr>
        <w:t>Original:</w:t>
      </w:r>
      <w:r>
        <w:t xml:space="preserve"> Freedom from unfair treatment </w:t>
      </w:r>
      <w:r w:rsidRPr="30921E80">
        <w:rPr>
          <w:b/>
          <w:bCs/>
        </w:rPr>
        <w:t>on the part of</w:t>
      </w:r>
      <w:r>
        <w:t xml:space="preserve"> faculty and administration in the assignment and evaluation of academic work </w:t>
      </w:r>
      <w:r w:rsidRPr="30921E80">
        <w:rPr>
          <w:b/>
          <w:bCs/>
        </w:rPr>
        <w:t>done</w:t>
      </w:r>
      <w:r>
        <w:t xml:space="preserve"> </w:t>
      </w:r>
      <w:r w:rsidRPr="30921E80">
        <w:rPr>
          <w:b/>
          <w:bCs/>
        </w:rPr>
        <w:t>for the completion of requirements for a particular course of his or her program for a degree.</w:t>
      </w:r>
    </w:p>
    <w:p w14:paraId="0E827FB0" w14:textId="59EAC116" w:rsidR="4C462A17" w:rsidRDefault="4C462A17" w:rsidP="30921E80">
      <w:pPr>
        <w:rPr>
          <w:b/>
          <w:bCs/>
        </w:rPr>
      </w:pPr>
      <w:r w:rsidRPr="30921E80">
        <w:rPr>
          <w:b/>
          <w:bCs/>
        </w:rPr>
        <w:t>Revised:</w:t>
      </w:r>
      <w:r>
        <w:t xml:space="preserve"> Freedom from unfair treatment </w:t>
      </w:r>
      <w:r w:rsidR="3BA962DC" w:rsidRPr="30921E80">
        <w:rPr>
          <w:b/>
          <w:bCs/>
        </w:rPr>
        <w:t>by</w:t>
      </w:r>
      <w:r>
        <w:t xml:space="preserve"> faculty and administration in the assignment and evaluation of academic work </w:t>
      </w:r>
      <w:r w:rsidR="3C526805" w:rsidRPr="30921E80">
        <w:rPr>
          <w:b/>
          <w:bCs/>
        </w:rPr>
        <w:t>required</w:t>
      </w:r>
      <w:r w:rsidRPr="30921E80">
        <w:rPr>
          <w:b/>
          <w:bCs/>
        </w:rPr>
        <w:t xml:space="preserve"> </w:t>
      </w:r>
      <w:r w:rsidR="7CF250C0" w:rsidRPr="30921E80">
        <w:rPr>
          <w:b/>
          <w:bCs/>
        </w:rPr>
        <w:t xml:space="preserve">for </w:t>
      </w:r>
      <w:r w:rsidR="21CD9281" w:rsidRPr="30921E80">
        <w:rPr>
          <w:b/>
          <w:bCs/>
        </w:rPr>
        <w:t xml:space="preserve">course </w:t>
      </w:r>
      <w:r w:rsidRPr="30921E80">
        <w:rPr>
          <w:b/>
          <w:bCs/>
        </w:rPr>
        <w:t>completion of requirements</w:t>
      </w:r>
      <w:r>
        <w:t xml:space="preserve"> </w:t>
      </w:r>
      <w:r w:rsidR="3297A8B5" w:rsidRPr="30921E80">
        <w:rPr>
          <w:b/>
          <w:bCs/>
        </w:rPr>
        <w:t>within a degree program</w:t>
      </w:r>
      <w:r w:rsidRPr="30921E80">
        <w:rPr>
          <w:b/>
          <w:bCs/>
        </w:rPr>
        <w:t>.</w:t>
      </w:r>
    </w:p>
    <w:p w14:paraId="57C8D94D" w14:textId="4DEED2F0" w:rsidR="00B80C1E" w:rsidRPr="00B80C1E" w:rsidRDefault="7612DE80" w:rsidP="00B80C1E">
      <w:pPr>
        <w:pStyle w:val="Heading4"/>
      </w:pPr>
      <w:r>
        <w:t>I. Academic Conduct B.2</w:t>
      </w:r>
    </w:p>
    <w:p w14:paraId="1865646B" w14:textId="3A298C62" w:rsidR="00E02140" w:rsidRPr="00DC54AD" w:rsidRDefault="2E9FD859" w:rsidP="30921E80">
      <w:r w:rsidRPr="30921E80">
        <w:rPr>
          <w:b/>
          <w:bCs/>
        </w:rPr>
        <w:t>Original:</w:t>
      </w:r>
      <w:r>
        <w:t xml:space="preserve"> Completing the requirements and meeting the standards of any course </w:t>
      </w:r>
      <w:r w:rsidRPr="30921E80">
        <w:rPr>
          <w:b/>
          <w:bCs/>
        </w:rPr>
        <w:t>in which he or she is</w:t>
      </w:r>
      <w:r>
        <w:t xml:space="preserve"> enrolled; requirements for participation in classroom discussion and submission of written assignments are not inconsistent with this section.</w:t>
      </w:r>
    </w:p>
    <w:p w14:paraId="4DA472F9" w14:textId="6FA854A6" w:rsidR="00E02140" w:rsidRPr="00DC54AD" w:rsidRDefault="2E9FD859" w:rsidP="30921E80">
      <w:r w:rsidRPr="30921E80">
        <w:rPr>
          <w:b/>
          <w:bCs/>
        </w:rPr>
        <w:t>Revised:</w:t>
      </w:r>
      <w:r>
        <w:t xml:space="preserve"> Completing the requirements and meeting the standards of any course</w:t>
      </w:r>
      <w:r w:rsidR="24081BED">
        <w:t xml:space="preserve"> </w:t>
      </w:r>
      <w:r>
        <w:t>enrolled; requirements for participation in classroom discussion and submission of written assignments are not inconsistent with this section.</w:t>
      </w:r>
    </w:p>
    <w:p w14:paraId="5EAF11AE" w14:textId="77777777" w:rsidR="00DC54AD" w:rsidRDefault="1CFA8D75" w:rsidP="00DC54AD">
      <w:pPr>
        <w:pStyle w:val="Heading4"/>
      </w:pPr>
      <w:r>
        <w:t>II. Academic Dishonesty</w:t>
      </w:r>
    </w:p>
    <w:p w14:paraId="5B785847" w14:textId="7E3D5F24" w:rsidR="00707CBD" w:rsidRPr="00707CBD" w:rsidRDefault="2885D0D1" w:rsidP="30921E80">
      <w:r w:rsidRPr="30921E80">
        <w:rPr>
          <w:b/>
          <w:bCs/>
        </w:rPr>
        <w:t>Original:</w:t>
      </w:r>
      <w:r w:rsidR="4C27B9DE" w:rsidRPr="30921E80">
        <w:rPr>
          <w:b/>
          <w:bCs/>
        </w:rPr>
        <w:t xml:space="preserve"> </w:t>
      </w:r>
      <w:r w:rsidR="50A57D4C">
        <w:t xml:space="preserve">The definitions, procedures, and penalties included in this report shall be publicized and made available to all students; any student enrolling at Kansas State University implicitly indicates by so enrolling </w:t>
      </w:r>
      <w:r w:rsidR="50A57D4C" w:rsidRPr="30921E80">
        <w:rPr>
          <w:b/>
          <w:bCs/>
        </w:rPr>
        <w:t>that he or she</w:t>
      </w:r>
      <w:r w:rsidR="50A57D4C">
        <w:t xml:space="preserve"> accepts the stipulations concerning academic honesty and the procedures they entail as outlined in this report.</w:t>
      </w:r>
    </w:p>
    <w:p w14:paraId="028262CB" w14:textId="3035B878" w:rsidR="00707CBD" w:rsidRPr="00707CBD" w:rsidRDefault="2885D0D1" w:rsidP="30921E80">
      <w:r w:rsidRPr="30921E80">
        <w:rPr>
          <w:b/>
          <w:bCs/>
        </w:rPr>
        <w:t>Revised:</w:t>
      </w:r>
      <w:r w:rsidR="7A38E6BA">
        <w:t xml:space="preserve"> The definitions, procedures, and penalties included in this report shall be publicized and made available to all students; any student enrolling at Kansas State University implicitly indicates by </w:t>
      </w:r>
      <w:r w:rsidR="7A38E6BA">
        <w:lastRenderedPageBreak/>
        <w:t>so enrolling accepts the stipulations concerning academic honesty and the procedures they entail as outlined in this report.</w:t>
      </w:r>
    </w:p>
    <w:p w14:paraId="33FA158C" w14:textId="00EC076F" w:rsidR="00A62031" w:rsidRDefault="00DC54AD" w:rsidP="00707CBD">
      <w:pPr>
        <w:pStyle w:val="Heading4"/>
      </w:pPr>
      <w:r>
        <w:t xml:space="preserve">II. Academic Dishonesty </w:t>
      </w:r>
      <w:r w:rsidR="00451A71">
        <w:t>A.</w:t>
      </w:r>
      <w:r w:rsidR="00E23C06">
        <w:t>2.1</w:t>
      </w:r>
    </w:p>
    <w:p w14:paraId="3A969FEC" w14:textId="35BAE01F" w:rsidR="00707CBD" w:rsidRPr="003165BE" w:rsidRDefault="22C1F1EC" w:rsidP="30921E80">
      <w:pPr>
        <w:rPr>
          <w:b/>
          <w:bCs/>
        </w:rPr>
      </w:pPr>
      <w:r w:rsidRPr="30921E80">
        <w:rPr>
          <w:b/>
          <w:bCs/>
        </w:rPr>
        <w:t>Original:</w:t>
      </w:r>
      <w:r w:rsidR="6E3E75EE" w:rsidRPr="30921E80">
        <w:rPr>
          <w:b/>
          <w:bCs/>
        </w:rPr>
        <w:t xml:space="preserve"> </w:t>
      </w:r>
      <w:r w:rsidR="6E3E75EE">
        <w:t xml:space="preserve">Buying a term paper, or copying another person’s paper, even if </w:t>
      </w:r>
      <w:r w:rsidR="6E3E75EE" w:rsidRPr="30921E80">
        <w:rPr>
          <w:b/>
          <w:bCs/>
        </w:rPr>
        <w:t>she or he gives you permission.</w:t>
      </w:r>
    </w:p>
    <w:p w14:paraId="78D9B049" w14:textId="68FC647E" w:rsidR="22C1F1EC" w:rsidRDefault="22C1F1EC">
      <w:r w:rsidRPr="30921E80">
        <w:rPr>
          <w:b/>
          <w:bCs/>
        </w:rPr>
        <w:t>Revised:</w:t>
      </w:r>
      <w:r w:rsidR="4F8A5C5C" w:rsidRPr="30921E80">
        <w:rPr>
          <w:b/>
          <w:bCs/>
        </w:rPr>
        <w:t xml:space="preserve"> </w:t>
      </w:r>
      <w:r w:rsidR="4F8A5C5C">
        <w:t xml:space="preserve">Buying a term paper, or copying another person’s paper, even if </w:t>
      </w:r>
      <w:r w:rsidR="4F8A5C5C" w:rsidRPr="30921E80">
        <w:rPr>
          <w:b/>
          <w:bCs/>
        </w:rPr>
        <w:t>permission is given</w:t>
      </w:r>
      <w:r w:rsidR="4F8A5C5C">
        <w:t>.</w:t>
      </w:r>
    </w:p>
    <w:p w14:paraId="64990217" w14:textId="0568AB70" w:rsidR="002D0B86" w:rsidRDefault="00BA1353" w:rsidP="000F006D">
      <w:pPr>
        <w:pStyle w:val="Heading3"/>
      </w:pPr>
      <w:hyperlink r:id="rId9" w:history="1">
        <w:r w:rsidRPr="00637C00">
          <w:t>University Handbook, Appendix G: Administrative Appeal and Grievance Policy and Hearing Procedures</w:t>
        </w:r>
        <w:r w:rsidR="005320BE" w:rsidRPr="00637C00">
          <w:t>: Process</w:t>
        </w:r>
      </w:hyperlink>
    </w:p>
    <w:p w14:paraId="6D8E9842" w14:textId="3DFA71CD" w:rsidR="009C495F" w:rsidRDefault="007D4257" w:rsidP="000B4BA0">
      <w:pPr>
        <w:pStyle w:val="Heading4"/>
      </w:pPr>
      <w:r w:rsidRPr="007D4257">
        <w:t>J. Conduct and Procedures for Grievance Hearings</w:t>
      </w:r>
      <w:r w:rsidR="000B4BA0">
        <w:t>: Process 3.a</w:t>
      </w:r>
    </w:p>
    <w:p w14:paraId="50B105D6" w14:textId="77D0F38A" w:rsidR="000B4BA0" w:rsidRPr="009C495F" w:rsidRDefault="67916F19" w:rsidP="009C495F">
      <w:r w:rsidRPr="30921E80">
        <w:rPr>
          <w:b/>
          <w:bCs/>
        </w:rPr>
        <w:t>Original:</w:t>
      </w:r>
      <w:r>
        <w:t xml:space="preserve"> a. </w:t>
      </w:r>
      <w:proofErr w:type="gramStart"/>
      <w:r>
        <w:t>cross-examine</w:t>
      </w:r>
      <w:proofErr w:type="gramEnd"/>
      <w:r>
        <w:t xml:space="preserve"> each witness following </w:t>
      </w:r>
      <w:r w:rsidRPr="30921E80">
        <w:rPr>
          <w:b/>
          <w:bCs/>
        </w:rPr>
        <w:t>his or her</w:t>
      </w:r>
      <w:r>
        <w:t xml:space="preserve"> testimony; and</w:t>
      </w:r>
    </w:p>
    <w:p w14:paraId="78F528D2" w14:textId="33AE18CB" w:rsidR="67916F19" w:rsidRDefault="67916F19">
      <w:r w:rsidRPr="30921E80">
        <w:rPr>
          <w:b/>
          <w:bCs/>
        </w:rPr>
        <w:t>Revised:</w:t>
      </w:r>
      <w:r>
        <w:t xml:space="preserve"> a. </w:t>
      </w:r>
      <w:proofErr w:type="gramStart"/>
      <w:r>
        <w:t>cross-examine</w:t>
      </w:r>
      <w:proofErr w:type="gramEnd"/>
      <w:r>
        <w:t xml:space="preserve"> each witness following </w:t>
      </w:r>
      <w:r w:rsidR="3EAD67F5" w:rsidRPr="30921E80">
        <w:rPr>
          <w:b/>
          <w:bCs/>
        </w:rPr>
        <w:t>the</w:t>
      </w:r>
      <w:r>
        <w:t xml:space="preserve"> testimony; and</w:t>
      </w:r>
    </w:p>
    <w:p w14:paraId="23A116CB" w14:textId="3A22EB97" w:rsidR="001F1BE8" w:rsidRDefault="009A7535" w:rsidP="000F006D">
      <w:pPr>
        <w:pStyle w:val="Heading3"/>
      </w:pPr>
      <w:hyperlink r:id="rId10" w:history="1">
        <w:r w:rsidRPr="00637C00">
          <w:t>University Handbook, Appendix J: Policy on Gender and Policy Prohibiting Discrimination, Harassment, and Sexual Violence, and Procedure for Reviewing Complaints</w:t>
        </w:r>
      </w:hyperlink>
    </w:p>
    <w:p w14:paraId="18CB05E2" w14:textId="5CC33CB1" w:rsidR="00B03032" w:rsidRPr="00B03032" w:rsidRDefault="6395AA6D" w:rsidP="00A712DB">
      <w:pPr>
        <w:pStyle w:val="Heading4"/>
      </w:pPr>
      <w:r>
        <w:t>Policy on Gender 2.</w:t>
      </w:r>
    </w:p>
    <w:p w14:paraId="5ACE1AA4" w14:textId="4349070A" w:rsidR="3CD5E7A2" w:rsidRDefault="3CD5E7A2" w:rsidP="30921E80">
      <w:r w:rsidRPr="30921E80">
        <w:rPr>
          <w:b/>
          <w:bCs/>
        </w:rPr>
        <w:t>Original:</w:t>
      </w:r>
      <w:r>
        <w:t xml:space="preserve"> </w:t>
      </w:r>
      <w:r w:rsidR="278AC949">
        <w:t xml:space="preserve">Evaluate </w:t>
      </w:r>
      <w:r w:rsidR="278AC949" w:rsidRPr="30921E80">
        <w:rPr>
          <w:b/>
          <w:bCs/>
        </w:rPr>
        <w:t>their own</w:t>
      </w:r>
      <w:r w:rsidR="278AC949">
        <w:t xml:space="preserve"> ideas and behavior in this context. New sensitivity must lead to changes in thinking and behavior. Each </w:t>
      </w:r>
      <w:r w:rsidR="278AC949" w:rsidRPr="30921E80">
        <w:rPr>
          <w:b/>
          <w:bCs/>
        </w:rPr>
        <w:t>of us</w:t>
      </w:r>
      <w:r w:rsidR="278AC949">
        <w:t xml:space="preserve"> should carefully examine </w:t>
      </w:r>
      <w:r w:rsidR="278AC949" w:rsidRPr="30921E80">
        <w:rPr>
          <w:b/>
          <w:bCs/>
        </w:rPr>
        <w:t>his or her</w:t>
      </w:r>
      <w:r w:rsidR="278AC949">
        <w:t xml:space="preserve"> own ideas for the stereotypes and unfounded generalizations that underlie unwitting gender‑biased behavior.</w:t>
      </w:r>
    </w:p>
    <w:p w14:paraId="63DAD9C3" w14:textId="5729CE45" w:rsidR="3CD5E7A2" w:rsidRDefault="3CD5E7A2" w:rsidP="30921E80">
      <w:r w:rsidRPr="30921E80">
        <w:rPr>
          <w:b/>
          <w:bCs/>
        </w:rPr>
        <w:t>Revised:</w:t>
      </w:r>
      <w:r>
        <w:t xml:space="preserve"> </w:t>
      </w:r>
      <w:r w:rsidR="0EED010F">
        <w:t xml:space="preserve">Evaluate ideas and behavior in this context. New sensitivity must lead to changes in thinking and behavior. </w:t>
      </w:r>
      <w:proofErr w:type="gramStart"/>
      <w:r w:rsidR="0EED010F">
        <w:t xml:space="preserve">Each </w:t>
      </w:r>
      <w:r w:rsidR="549E0CD7" w:rsidRPr="30921E80">
        <w:rPr>
          <w:b/>
          <w:bCs/>
        </w:rPr>
        <w:t>individual</w:t>
      </w:r>
      <w:proofErr w:type="gramEnd"/>
      <w:r w:rsidR="0EED010F">
        <w:t xml:space="preserve"> should carefully examine </w:t>
      </w:r>
      <w:r w:rsidR="3AE3BC11" w:rsidRPr="30921E80">
        <w:rPr>
          <w:b/>
          <w:bCs/>
        </w:rPr>
        <w:t>their</w:t>
      </w:r>
      <w:r w:rsidR="0EED010F">
        <w:t xml:space="preserve"> own ideas for the stereotypes and unfounded generalizations that underlie unwitting gender‑biased behavior.</w:t>
      </w:r>
    </w:p>
    <w:p w14:paraId="2AF4B798" w14:textId="67DA49FA" w:rsidR="009A7535" w:rsidRDefault="00EF26E1" w:rsidP="000F006D">
      <w:pPr>
        <w:pStyle w:val="Heading3"/>
      </w:pPr>
      <w:hyperlink r:id="rId11" w:history="1">
        <w:r w:rsidRPr="00637C00">
          <w:t>University Handbook, Appendix K:</w:t>
        </w:r>
        <w:r w:rsidR="00A716BB" w:rsidRPr="00637C00">
          <w:t xml:space="preserve"> </w:t>
        </w:r>
        <w:r w:rsidRPr="00637C00">
          <w:t>Discontinuance of Academic Programs</w:t>
        </w:r>
      </w:hyperlink>
    </w:p>
    <w:p w14:paraId="7458BF62" w14:textId="3C0EE728" w:rsidR="009573E8" w:rsidRDefault="77F9E4BB" w:rsidP="00192F9E">
      <w:pPr>
        <w:pStyle w:val="Heading4"/>
      </w:pPr>
      <w:r>
        <w:t>III.</w:t>
      </w:r>
      <w:r w:rsidR="11125363">
        <w:t>A.</w:t>
      </w:r>
      <w:r w:rsidR="06238F8A">
        <w:t>3.e</w:t>
      </w:r>
    </w:p>
    <w:p w14:paraId="41E29165" w14:textId="0964247F" w:rsidR="00192F9E" w:rsidRDefault="3F8622F9" w:rsidP="30921E80">
      <w:pPr>
        <w:rPr>
          <w:b/>
          <w:bCs/>
        </w:rPr>
      </w:pPr>
      <w:r w:rsidRPr="30921E80">
        <w:rPr>
          <w:b/>
          <w:bCs/>
        </w:rPr>
        <w:t>Original:</w:t>
      </w:r>
      <w:r>
        <w:t xml:space="preserve"> The dean of the affected college will append </w:t>
      </w:r>
      <w:r w:rsidRPr="30921E80">
        <w:rPr>
          <w:b/>
          <w:bCs/>
        </w:rPr>
        <w:t>his/her</w:t>
      </w:r>
      <w:r>
        <w:t xml:space="preserve"> opinion to the committee report, stating whether and to what extent </w:t>
      </w:r>
      <w:r w:rsidRPr="30921E80">
        <w:rPr>
          <w:b/>
          <w:bCs/>
        </w:rPr>
        <w:t>he/she agrees</w:t>
      </w:r>
      <w:r>
        <w:t xml:space="preserve"> with the committee recommendation. If </w:t>
      </w:r>
      <w:r w:rsidRPr="30921E80">
        <w:rPr>
          <w:b/>
          <w:bCs/>
        </w:rPr>
        <w:t>he/she</w:t>
      </w:r>
      <w:r>
        <w:t xml:space="preserve"> </w:t>
      </w:r>
      <w:r w:rsidRPr="30921E80">
        <w:rPr>
          <w:b/>
          <w:bCs/>
        </w:rPr>
        <w:t>disagrees</w:t>
      </w:r>
      <w:r>
        <w:t xml:space="preserve"> with the committee recommendation, </w:t>
      </w:r>
      <w:r w:rsidRPr="30921E80">
        <w:rPr>
          <w:b/>
          <w:bCs/>
        </w:rPr>
        <w:t>he/she</w:t>
      </w:r>
      <w:r>
        <w:t xml:space="preserve"> </w:t>
      </w:r>
      <w:r w:rsidRPr="30921E80">
        <w:rPr>
          <w:b/>
          <w:bCs/>
        </w:rPr>
        <w:t>should clearly state his/her reasons and arguments.</w:t>
      </w:r>
    </w:p>
    <w:p w14:paraId="0EA0CB29" w14:textId="41F0CF7A" w:rsidR="00192F9E" w:rsidRDefault="3F8622F9" w:rsidP="30921E80">
      <w:pPr>
        <w:rPr>
          <w:b/>
          <w:bCs/>
        </w:rPr>
      </w:pPr>
      <w:r w:rsidRPr="30921E80">
        <w:rPr>
          <w:b/>
          <w:bCs/>
        </w:rPr>
        <w:t>Revised:</w:t>
      </w:r>
      <w:r>
        <w:t xml:space="preserve"> The dean of the affected college will append </w:t>
      </w:r>
      <w:r w:rsidR="00541631">
        <w:rPr>
          <w:b/>
          <w:bCs/>
        </w:rPr>
        <w:t xml:space="preserve">the dean’s </w:t>
      </w:r>
      <w:r>
        <w:t xml:space="preserve">opinion to the committee report, stating whether and to what extent </w:t>
      </w:r>
      <w:r w:rsidR="3D731115" w:rsidRPr="30921E80">
        <w:rPr>
          <w:b/>
          <w:bCs/>
        </w:rPr>
        <w:t>agreement exists</w:t>
      </w:r>
      <w:r>
        <w:t xml:space="preserve"> with the committee recommendation. If </w:t>
      </w:r>
      <w:r w:rsidRPr="30921E80">
        <w:rPr>
          <w:b/>
          <w:bCs/>
        </w:rPr>
        <w:t>disagree</w:t>
      </w:r>
      <w:r w:rsidR="2FB494E0" w:rsidRPr="30921E80">
        <w:rPr>
          <w:b/>
          <w:bCs/>
        </w:rPr>
        <w:t>ment</w:t>
      </w:r>
      <w:r w:rsidRPr="30921E80">
        <w:rPr>
          <w:b/>
          <w:bCs/>
        </w:rPr>
        <w:t xml:space="preserve"> </w:t>
      </w:r>
      <w:r>
        <w:t>with the committee recommendation</w:t>
      </w:r>
      <w:r w:rsidR="20D10265">
        <w:t xml:space="preserve"> </w:t>
      </w:r>
      <w:r w:rsidR="20D10265" w:rsidRPr="30921E80">
        <w:rPr>
          <w:b/>
          <w:bCs/>
        </w:rPr>
        <w:t>occurs</w:t>
      </w:r>
      <w:r>
        <w:t xml:space="preserve">, </w:t>
      </w:r>
      <w:r w:rsidR="0AFF81A7" w:rsidRPr="30921E80">
        <w:rPr>
          <w:b/>
          <w:bCs/>
        </w:rPr>
        <w:t xml:space="preserve">reasons and arguments for this stance should be </w:t>
      </w:r>
      <w:r w:rsidRPr="30921E80">
        <w:rPr>
          <w:b/>
          <w:bCs/>
        </w:rPr>
        <w:t xml:space="preserve">clearly </w:t>
      </w:r>
      <w:r w:rsidR="7C679722" w:rsidRPr="30921E80">
        <w:rPr>
          <w:b/>
          <w:bCs/>
        </w:rPr>
        <w:t>stated.</w:t>
      </w:r>
    </w:p>
    <w:p w14:paraId="39D4AE47" w14:textId="5AFC7FF3" w:rsidR="00192F9E" w:rsidRDefault="11125363" w:rsidP="30921E80">
      <w:pPr>
        <w:pStyle w:val="Heading4"/>
      </w:pPr>
      <w:r>
        <w:t>III.</w:t>
      </w:r>
      <w:r w:rsidR="06238F8A">
        <w:t>B</w:t>
      </w:r>
      <w:r w:rsidR="389CFC1E">
        <w:t>.</w:t>
      </w:r>
      <w:r w:rsidR="1688A1FC">
        <w:t>2</w:t>
      </w:r>
    </w:p>
    <w:p w14:paraId="692B6C9C" w14:textId="3D3CFEF9" w:rsidR="00192F9E" w:rsidRDefault="1688A1FC" w:rsidP="30921E80">
      <w:r w:rsidRPr="30921E80">
        <w:rPr>
          <w:b/>
          <w:bCs/>
        </w:rPr>
        <w:t>Original:</w:t>
      </w:r>
      <w:r>
        <w:t xml:space="preserve"> </w:t>
      </w:r>
      <w:r w:rsidR="193FBF2E">
        <w:t>T</w:t>
      </w:r>
      <w:r>
        <w:t xml:space="preserve">enure track (but untenured) faculty will be given proper notice of termination (Cf. Kansas State University </w:t>
      </w:r>
      <w:proofErr w:type="spellStart"/>
      <w:r w:rsidRPr="30921E80">
        <w:rPr>
          <w:b/>
          <w:bCs/>
        </w:rPr>
        <w:t>University</w:t>
      </w:r>
      <w:proofErr w:type="spellEnd"/>
      <w:r w:rsidRPr="30921E80">
        <w:rPr>
          <w:b/>
          <w:bCs/>
        </w:rPr>
        <w:t xml:space="preserve"> </w:t>
      </w:r>
      <w:r>
        <w:t xml:space="preserve">Handbook, C150 and Appendix A). Where possible the </w:t>
      </w:r>
      <w:r>
        <w:lastRenderedPageBreak/>
        <w:t xml:space="preserve">university will offer to each tenure track faculty member affected another suitable position in a field for which </w:t>
      </w:r>
      <w:r w:rsidRPr="30921E80">
        <w:rPr>
          <w:b/>
          <w:bCs/>
        </w:rPr>
        <w:t>his/her</w:t>
      </w:r>
      <w:r>
        <w:t xml:space="preserve"> competencies are relevant.</w:t>
      </w:r>
    </w:p>
    <w:p w14:paraId="7592CE8D" w14:textId="1DEBE91C" w:rsidR="00192F9E" w:rsidRDefault="1688A1FC" w:rsidP="30921E80">
      <w:r w:rsidRPr="30921E80">
        <w:rPr>
          <w:b/>
          <w:bCs/>
        </w:rPr>
        <w:t>Revised:</w:t>
      </w:r>
      <w:r>
        <w:t xml:space="preserve"> </w:t>
      </w:r>
      <w:r w:rsidR="5DD4F270">
        <w:t>T</w:t>
      </w:r>
      <w:r>
        <w:t xml:space="preserve">enure track (but untenured) faculty will be given proper notice of termination (Cf. Kansas State University Handbook, C150 and Appendix A). Where possible the university will offer to each tenure track faculty member affected another suitable position in a field for which </w:t>
      </w:r>
      <w:r w:rsidR="00222865" w:rsidRPr="30921E80">
        <w:rPr>
          <w:b/>
          <w:bCs/>
        </w:rPr>
        <w:t>the faculty member</w:t>
      </w:r>
      <w:r w:rsidR="00222865">
        <w:rPr>
          <w:b/>
          <w:bCs/>
        </w:rPr>
        <w:t>’s</w:t>
      </w:r>
      <w:r w:rsidR="00222865">
        <w:t xml:space="preserve"> </w:t>
      </w:r>
      <w:r>
        <w:t>competencies are relevant.</w:t>
      </w:r>
    </w:p>
    <w:p w14:paraId="3CA62ED7" w14:textId="0A5570AD" w:rsidR="00192F9E" w:rsidRDefault="1688A1FC" w:rsidP="30921E80">
      <w:pPr>
        <w:pStyle w:val="Heading4"/>
      </w:pPr>
      <w:r>
        <w:t>III.B.3</w:t>
      </w:r>
    </w:p>
    <w:p w14:paraId="225D711D" w14:textId="44F44146" w:rsidR="00192F9E" w:rsidRDefault="418C1E6A" w:rsidP="30921E80">
      <w:r w:rsidRPr="30921E80">
        <w:rPr>
          <w:b/>
          <w:bCs/>
        </w:rPr>
        <w:t xml:space="preserve">Original: </w:t>
      </w:r>
      <w:r>
        <w:t xml:space="preserve">Wherever possible the university will offer to each tenured faculty another suitable position for which </w:t>
      </w:r>
      <w:r w:rsidRPr="30921E80">
        <w:rPr>
          <w:b/>
          <w:bCs/>
        </w:rPr>
        <w:t>his/her</w:t>
      </w:r>
      <w:r>
        <w:t xml:space="preserve"> competencies are relevant. If placement in another position would be facilitated, and the faculty member's performance potential in that position enhanced, </w:t>
      </w:r>
      <w:r w:rsidRPr="30921E80">
        <w:rPr>
          <w:b/>
          <w:bCs/>
        </w:rPr>
        <w:t>he/she</w:t>
      </w:r>
      <w:r>
        <w:t xml:space="preserve"> shall be offered and encouraged to utilize appropriate means at the university's disposal including financial and other support where available to improve </w:t>
      </w:r>
      <w:r w:rsidRPr="30921E80">
        <w:rPr>
          <w:b/>
          <w:bCs/>
        </w:rPr>
        <w:t>his/her</w:t>
      </w:r>
      <w:r>
        <w:t xml:space="preserve"> expertise or to change specialties.</w:t>
      </w:r>
    </w:p>
    <w:p w14:paraId="6601F396" w14:textId="584832BD" w:rsidR="00192F9E" w:rsidRDefault="418C1E6A" w:rsidP="30921E80">
      <w:r w:rsidRPr="30921E80">
        <w:rPr>
          <w:b/>
          <w:bCs/>
        </w:rPr>
        <w:t xml:space="preserve">Revised: </w:t>
      </w:r>
      <w:r>
        <w:t xml:space="preserve">Wherever possible the university will offer to each tenured faculty another suitable position for which competencies are relevant. If placement in another position would be facilitated, and the faculty member's performance potential in that position enhanced, </w:t>
      </w:r>
      <w:r w:rsidR="75EC35C2" w:rsidRPr="30921E80">
        <w:rPr>
          <w:b/>
          <w:bCs/>
        </w:rPr>
        <w:t>the faculty member</w:t>
      </w:r>
      <w:r w:rsidRPr="30921E80">
        <w:rPr>
          <w:b/>
          <w:bCs/>
        </w:rPr>
        <w:t xml:space="preserve"> </w:t>
      </w:r>
      <w:r>
        <w:t xml:space="preserve">shall be offered and encouraged to utilize appropriate means at the university's disposal including financial and other support where available to improve </w:t>
      </w:r>
      <w:r w:rsidR="00F34CD9" w:rsidRPr="30921E80">
        <w:rPr>
          <w:b/>
          <w:bCs/>
        </w:rPr>
        <w:t>the faculty member</w:t>
      </w:r>
      <w:r w:rsidR="00F34CD9">
        <w:rPr>
          <w:b/>
          <w:bCs/>
        </w:rPr>
        <w:t>’s</w:t>
      </w:r>
      <w:r w:rsidR="00F34CD9">
        <w:t xml:space="preserve"> </w:t>
      </w:r>
      <w:r>
        <w:t>expertise or to change specialties.</w:t>
      </w:r>
    </w:p>
    <w:p w14:paraId="6332E815" w14:textId="7751CDD0" w:rsidR="006E2BA9" w:rsidRDefault="00192F9E" w:rsidP="00192F9E">
      <w:pPr>
        <w:pStyle w:val="Heading4"/>
      </w:pPr>
      <w:r>
        <w:t>III.</w:t>
      </w:r>
      <w:r w:rsidR="006E2BA9">
        <w:t>B.4</w:t>
      </w:r>
    </w:p>
    <w:p w14:paraId="0A9DBA52" w14:textId="086DF947" w:rsidR="00192F9E" w:rsidRPr="009573E8" w:rsidRDefault="36E42DC3" w:rsidP="009573E8">
      <w:r w:rsidRPr="30921E80">
        <w:rPr>
          <w:b/>
          <w:bCs/>
        </w:rPr>
        <w:t>Original:</w:t>
      </w:r>
      <w:r>
        <w:t xml:space="preserve"> If no suitable position is available at the university, with or without retraining, the tenured faculty member may be terminated, with the condition that </w:t>
      </w:r>
      <w:r w:rsidRPr="30921E80">
        <w:rPr>
          <w:b/>
          <w:bCs/>
        </w:rPr>
        <w:t>he/she</w:t>
      </w:r>
      <w:r>
        <w:t xml:space="preserve"> </w:t>
      </w:r>
      <w:r w:rsidRPr="30921E80">
        <w:rPr>
          <w:b/>
          <w:bCs/>
        </w:rPr>
        <w:t>be given</w:t>
      </w:r>
      <w:r>
        <w:t xml:space="preserve"> a minimum of one year terminal notification, the terminal period to begin at the start of the following academic or fiscal year (academic year for nine-month appointee and fiscal year for 12-month appointee) respectively.</w:t>
      </w:r>
    </w:p>
    <w:p w14:paraId="5419A941" w14:textId="61BC11FD" w:rsidR="36E42DC3" w:rsidRDefault="36E42DC3">
      <w:r w:rsidRPr="30921E80">
        <w:rPr>
          <w:b/>
          <w:bCs/>
        </w:rPr>
        <w:t>Revised:</w:t>
      </w:r>
      <w:r>
        <w:t xml:space="preserve"> If no suitable position is available at the university, with or without retraining, the tenured faculty member may be terminated, with the condition that a minimum of one year terminal notification</w:t>
      </w:r>
      <w:r w:rsidR="790195CB">
        <w:t xml:space="preserve"> </w:t>
      </w:r>
      <w:r w:rsidR="790195CB" w:rsidRPr="30921E80">
        <w:rPr>
          <w:b/>
          <w:bCs/>
        </w:rPr>
        <w:t>is given</w:t>
      </w:r>
      <w:r>
        <w:t>, the terminal period to begin at the start of the following academic or fiscal year (academic year for nine-month appointee and fiscal year for 12-month appointee) respectively.</w:t>
      </w:r>
    </w:p>
    <w:p w14:paraId="68D3286A" w14:textId="169D6EBB" w:rsidR="00C80B26" w:rsidRDefault="00C80B26" w:rsidP="0046325A">
      <w:pPr>
        <w:rPr>
          <w:rFonts w:eastAsiaTheme="majorEastAsia" w:cstheme="majorBidi"/>
          <w:b/>
          <w:sz w:val="28"/>
          <w:szCs w:val="28"/>
        </w:rPr>
      </w:pPr>
      <w:r w:rsidRPr="00C80B26">
        <w:rPr>
          <w:rFonts w:eastAsiaTheme="majorEastAsia" w:cstheme="majorBidi"/>
          <w:b/>
          <w:sz w:val="28"/>
          <w:szCs w:val="28"/>
        </w:rPr>
        <w:t>University Handbook, Appendix M:</w:t>
      </w:r>
      <w:r w:rsidR="0046325A">
        <w:rPr>
          <w:rFonts w:eastAsiaTheme="majorEastAsia" w:cstheme="majorBidi"/>
          <w:b/>
          <w:sz w:val="28"/>
          <w:szCs w:val="28"/>
        </w:rPr>
        <w:t xml:space="preserve"> </w:t>
      </w:r>
      <w:r w:rsidRPr="00C80B26">
        <w:rPr>
          <w:rFonts w:eastAsiaTheme="majorEastAsia" w:cstheme="majorBidi"/>
          <w:b/>
          <w:sz w:val="28"/>
          <w:szCs w:val="28"/>
        </w:rPr>
        <w:t>Procedure for Review of Dismissal of Tenured Faculty</w:t>
      </w:r>
    </w:p>
    <w:p w14:paraId="10ED2F4E" w14:textId="7FC76832" w:rsidR="0046325A" w:rsidRDefault="318E4B14" w:rsidP="00E31229">
      <w:pPr>
        <w:pStyle w:val="Heading4"/>
      </w:pPr>
      <w:r>
        <w:t>E.1</w:t>
      </w:r>
    </w:p>
    <w:p w14:paraId="2D4BEABF" w14:textId="6ABF5E0A" w:rsidR="00D25A37" w:rsidRPr="00D25A37" w:rsidRDefault="2BC02807" w:rsidP="30921E80">
      <w:r w:rsidRPr="30921E80">
        <w:rPr>
          <w:b/>
          <w:bCs/>
        </w:rPr>
        <w:t>Original:</w:t>
      </w:r>
      <w:r>
        <w:t xml:space="preserve"> </w:t>
      </w:r>
      <w:r w:rsidRPr="30921E80">
        <w:rPr>
          <w:b/>
          <w:bCs/>
        </w:rPr>
        <w:t>After the formal request is received by the president of faculty senate, he/she will notify the provost and the dean of the faculty member</w:t>
      </w:r>
      <w:r>
        <w:t>.</w:t>
      </w:r>
    </w:p>
    <w:p w14:paraId="2431FB36" w14:textId="0623C465" w:rsidR="00D25A37" w:rsidRPr="00D25A37" w:rsidRDefault="2BC02807" w:rsidP="30921E80">
      <w:pPr>
        <w:rPr>
          <w:b/>
          <w:bCs/>
        </w:rPr>
      </w:pPr>
      <w:r w:rsidRPr="30921E80">
        <w:rPr>
          <w:b/>
          <w:bCs/>
        </w:rPr>
        <w:t xml:space="preserve">Revised: </w:t>
      </w:r>
      <w:r w:rsidR="6A8671F6" w:rsidRPr="30921E80">
        <w:rPr>
          <w:b/>
          <w:bCs/>
        </w:rPr>
        <w:t>The president of faculty senate will notify the provost and the dean of the f</w:t>
      </w:r>
      <w:r w:rsidR="5995544F" w:rsidRPr="30921E80">
        <w:rPr>
          <w:b/>
          <w:bCs/>
        </w:rPr>
        <w:t>aculty</w:t>
      </w:r>
      <w:r w:rsidR="6A8671F6" w:rsidRPr="30921E80">
        <w:rPr>
          <w:b/>
          <w:bCs/>
        </w:rPr>
        <w:t xml:space="preserve"> member after the formal request is received.</w:t>
      </w:r>
    </w:p>
    <w:p w14:paraId="5483D1F7" w14:textId="65F02924" w:rsidR="00AB7346" w:rsidRDefault="0075447C" w:rsidP="00AB7346">
      <w:pPr>
        <w:pStyle w:val="Heading4"/>
      </w:pPr>
      <w:r w:rsidRPr="0075447C">
        <w:rPr>
          <w:b/>
          <w:i w:val="0"/>
          <w:iCs w:val="0"/>
          <w:color w:val="auto"/>
          <w:sz w:val="28"/>
          <w:szCs w:val="28"/>
        </w:rPr>
        <w:lastRenderedPageBreak/>
        <w:t>University Handbook, Appendix O:</w:t>
      </w:r>
      <w:r w:rsidR="00AB7346">
        <w:rPr>
          <w:b/>
          <w:i w:val="0"/>
          <w:iCs w:val="0"/>
          <w:color w:val="auto"/>
          <w:sz w:val="28"/>
          <w:szCs w:val="28"/>
        </w:rPr>
        <w:t xml:space="preserve"> </w:t>
      </w:r>
      <w:r w:rsidRPr="0075447C">
        <w:rPr>
          <w:b/>
          <w:i w:val="0"/>
          <w:iCs w:val="0"/>
          <w:color w:val="auto"/>
          <w:sz w:val="28"/>
          <w:szCs w:val="28"/>
        </w:rPr>
        <w:t>Policy on Integrity in Research and Scholarly Activity</w:t>
      </w:r>
    </w:p>
    <w:p w14:paraId="001C1D3C" w14:textId="4A226669" w:rsidR="00AB7346" w:rsidRDefault="402FDBAA" w:rsidP="00F566EA">
      <w:pPr>
        <w:pStyle w:val="Heading4"/>
      </w:pPr>
      <w:r>
        <w:t>Procedures to Be Followed in Cases of Alleged Misconduct in Research or Scholarly Activity</w:t>
      </w:r>
      <w:r w:rsidR="5D6D3055">
        <w:t xml:space="preserve"> </w:t>
      </w:r>
      <w:r w:rsidR="7C9BB741">
        <w:t>2</w:t>
      </w:r>
      <w:r w:rsidR="5D6D3055">
        <w:t>.</w:t>
      </w:r>
    </w:p>
    <w:p w14:paraId="557FCF97" w14:textId="23EA3F93" w:rsidR="006E6DFF" w:rsidRPr="006E6DFF" w:rsidRDefault="03AC8C3F" w:rsidP="30921E80">
      <w:r w:rsidRPr="30921E80">
        <w:rPr>
          <w:b/>
          <w:bCs/>
        </w:rPr>
        <w:t>Original:</w:t>
      </w:r>
      <w:r w:rsidR="47AA1B49" w:rsidRPr="30921E80">
        <w:rPr>
          <w:b/>
          <w:bCs/>
        </w:rPr>
        <w:t xml:space="preserve"> </w:t>
      </w:r>
      <w:r w:rsidR="47AA1B49">
        <w:t xml:space="preserve">If an individual is unsure whether a suspected incident falls within the definition of research misconduct, </w:t>
      </w:r>
      <w:r w:rsidR="47AA1B49" w:rsidRPr="30921E80">
        <w:rPr>
          <w:b/>
          <w:bCs/>
        </w:rPr>
        <w:t>he/she</w:t>
      </w:r>
      <w:r w:rsidR="47AA1B49">
        <w:t xml:space="preserve"> may meet with the VPR to discuss the suspected research misconduct informally.</w:t>
      </w:r>
    </w:p>
    <w:p w14:paraId="3CCA29D6" w14:textId="39063509" w:rsidR="006E6DFF" w:rsidRPr="006E6DFF" w:rsidRDefault="03AC8C3F" w:rsidP="30921E80">
      <w:r w:rsidRPr="30921E80">
        <w:rPr>
          <w:b/>
          <w:bCs/>
        </w:rPr>
        <w:t>Revised:</w:t>
      </w:r>
      <w:r w:rsidR="45F9CEC7">
        <w:t xml:space="preserve"> If an individual is unsure whether a suspected incident falls within the definition of research misconduct, </w:t>
      </w:r>
      <w:r w:rsidR="45F9CEC7" w:rsidRPr="30921E80">
        <w:rPr>
          <w:b/>
          <w:bCs/>
        </w:rPr>
        <w:t>the individual</w:t>
      </w:r>
      <w:r w:rsidR="45F9CEC7">
        <w:t xml:space="preserve"> may meet with the VPR to discuss the suspected research misconduct informally.</w:t>
      </w:r>
    </w:p>
    <w:p w14:paraId="7024E6C0" w14:textId="542B88AE" w:rsidR="00003C84" w:rsidRDefault="00003C84" w:rsidP="00A56E6D">
      <w:r w:rsidRPr="00003C84">
        <w:rPr>
          <w:rFonts w:eastAsiaTheme="majorEastAsia" w:cstheme="majorBidi"/>
          <w:b/>
          <w:sz w:val="28"/>
          <w:szCs w:val="28"/>
        </w:rPr>
        <w:t>University Handbook, Appendix Q:</w:t>
      </w:r>
      <w:r w:rsidR="00A56E6D">
        <w:rPr>
          <w:rFonts w:eastAsiaTheme="majorEastAsia" w:cstheme="majorBidi"/>
          <w:b/>
          <w:sz w:val="28"/>
          <w:szCs w:val="28"/>
        </w:rPr>
        <w:t xml:space="preserve"> </w:t>
      </w:r>
      <w:r w:rsidRPr="00003C84">
        <w:rPr>
          <w:rFonts w:eastAsiaTheme="majorEastAsia" w:cstheme="majorBidi"/>
          <w:b/>
          <w:sz w:val="28"/>
          <w:szCs w:val="28"/>
        </w:rPr>
        <w:t>Guidelines for Evaluating Faculty and Unclassified Professionals</w:t>
      </w:r>
    </w:p>
    <w:p w14:paraId="79A2338C" w14:textId="1324ADEF" w:rsidR="00A56E6D" w:rsidRDefault="19361F43" w:rsidP="00BC68A7">
      <w:pPr>
        <w:pStyle w:val="Heading4"/>
      </w:pPr>
      <w:r>
        <w:t xml:space="preserve">B. Responsibilities of Those Who Are Evaluated </w:t>
      </w:r>
      <w:r w:rsidR="0A797118">
        <w:t>3.</w:t>
      </w:r>
    </w:p>
    <w:p w14:paraId="319D2A9A" w14:textId="120BCC49" w:rsidR="009D57D0" w:rsidRPr="009D57D0" w:rsidRDefault="2FB1A1B6" w:rsidP="30921E80">
      <w:r w:rsidRPr="30921E80">
        <w:rPr>
          <w:b/>
          <w:bCs/>
        </w:rPr>
        <w:t>Original:</w:t>
      </w:r>
      <w:r w:rsidR="007A5DA6" w:rsidRPr="30921E80">
        <w:rPr>
          <w:b/>
          <w:bCs/>
        </w:rPr>
        <w:t xml:space="preserve"> </w:t>
      </w:r>
      <w:r w:rsidR="007A5DA6">
        <w:t xml:space="preserve">Each faculty and/or unclassified professionals will review, and must have the opportunity to discuss, </w:t>
      </w:r>
      <w:r w:rsidR="007A5DA6" w:rsidRPr="30921E80">
        <w:rPr>
          <w:b/>
          <w:bCs/>
        </w:rPr>
        <w:t>his/her</w:t>
      </w:r>
      <w:r w:rsidR="007A5DA6">
        <w:t xml:space="preserve"> written evaluation with the individual who prepared it. Before the unit head submits it to the next administrative level, each faculty and/or unclassified professionals must sign a statement acknowledging the opportunity to review and to discuss the evaluation and </w:t>
      </w:r>
      <w:r w:rsidR="007A5DA6" w:rsidRPr="30921E80">
        <w:rPr>
          <w:b/>
          <w:bCs/>
        </w:rPr>
        <w:t>his/her</w:t>
      </w:r>
      <w:r w:rsidR="007A5DA6">
        <w:t xml:space="preserve"> relative position in the planned assignment of merit salary increases within the unit.</w:t>
      </w:r>
    </w:p>
    <w:p w14:paraId="382362B1" w14:textId="7537811E" w:rsidR="009D57D0" w:rsidRPr="009D57D0" w:rsidRDefault="2FB1A1B6" w:rsidP="30921E80">
      <w:r w:rsidRPr="30921E80">
        <w:rPr>
          <w:b/>
          <w:bCs/>
        </w:rPr>
        <w:t>Revised:</w:t>
      </w:r>
      <w:r w:rsidR="6C7A9FAC">
        <w:t xml:space="preserve"> Each faculty and/or unclassified professionals will review, and must have the opportunity to discuss, </w:t>
      </w:r>
      <w:r w:rsidR="6C7A9FAC" w:rsidRPr="30921E80">
        <w:rPr>
          <w:b/>
          <w:bCs/>
        </w:rPr>
        <w:t>the</w:t>
      </w:r>
      <w:r w:rsidR="6C7A9FAC">
        <w:t xml:space="preserve"> written evaluation with the individual who prepared it. Before the unit head submits it to the next administrative level, each faculty and/or unclassified professionals must sign a statement acknowledging the opportunity to review and to discuss the evaluation </w:t>
      </w:r>
      <w:r w:rsidR="00BF3201">
        <w:t xml:space="preserve">and </w:t>
      </w:r>
      <w:r w:rsidR="00BF3201" w:rsidRPr="00BF3201">
        <w:rPr>
          <w:b/>
          <w:bCs/>
        </w:rPr>
        <w:t>the employee’s</w:t>
      </w:r>
      <w:r w:rsidR="6C7A9FAC">
        <w:t xml:space="preserve"> relative position in the planned assignment of merit salary increases within the unit.</w:t>
      </w:r>
    </w:p>
    <w:p w14:paraId="61E5B5D4" w14:textId="05E81715" w:rsidR="009D57D0" w:rsidRDefault="0A797118" w:rsidP="009D57D0">
      <w:pPr>
        <w:pStyle w:val="Heading4"/>
      </w:pPr>
      <w:r>
        <w:t>C. Responsibilities of Unit/Department Heads/Chairs 3.</w:t>
      </w:r>
    </w:p>
    <w:p w14:paraId="4086E0F8" w14:textId="6E644140" w:rsidR="009D57D0" w:rsidRPr="009D57D0" w:rsidRDefault="61A8B907" w:rsidP="30921E80">
      <w:r w:rsidRPr="30921E80">
        <w:rPr>
          <w:b/>
          <w:bCs/>
        </w:rPr>
        <w:t>Original:</w:t>
      </w:r>
      <w:r>
        <w:t xml:space="preserve"> The unit head will ensure that each faculty and/or unclassified professional has had the opportunity to review and discuss </w:t>
      </w:r>
      <w:r w:rsidRPr="30921E80">
        <w:rPr>
          <w:b/>
          <w:bCs/>
        </w:rPr>
        <w:t>his/her</w:t>
      </w:r>
      <w:r>
        <w:t xml:space="preserve"> written evaluation.</w:t>
      </w:r>
    </w:p>
    <w:p w14:paraId="70B65089" w14:textId="091F80F9" w:rsidR="009D57D0" w:rsidRPr="009D57D0" w:rsidRDefault="61A8B907" w:rsidP="30921E80">
      <w:r w:rsidRPr="30921E80">
        <w:rPr>
          <w:b/>
          <w:bCs/>
        </w:rPr>
        <w:t>Revised:</w:t>
      </w:r>
      <w:r>
        <w:t xml:space="preserve"> The unit head will ensure that each faculty and/or unclassified professional has had the opportunity to review and discuss </w:t>
      </w:r>
      <w:r w:rsidRPr="30921E80">
        <w:rPr>
          <w:b/>
          <w:bCs/>
        </w:rPr>
        <w:t>the</w:t>
      </w:r>
      <w:r>
        <w:t xml:space="preserve"> written evaluation.</w:t>
      </w:r>
    </w:p>
    <w:p w14:paraId="16778E6C" w14:textId="387B6029" w:rsidR="00A716BB" w:rsidRDefault="006D0CF7" w:rsidP="00003C84">
      <w:pPr>
        <w:pStyle w:val="Heading3"/>
      </w:pPr>
      <w:hyperlink r:id="rId12" w:history="1">
        <w:r w:rsidRPr="00637C00">
          <w:t>University Handbook, Appendix R: Intellectual Property Policy and Institutional Procedures</w:t>
        </w:r>
      </w:hyperlink>
    </w:p>
    <w:p w14:paraId="03C2794F" w14:textId="41B96646" w:rsidR="00987970" w:rsidRPr="006B2E25" w:rsidRDefault="6DCCF3FF" w:rsidP="007820F2">
      <w:pPr>
        <w:pStyle w:val="Heading4"/>
      </w:pPr>
      <w:r>
        <w:t xml:space="preserve">Appendix C: </w:t>
      </w:r>
      <w:r w:rsidR="169C13C4">
        <w:t xml:space="preserve">Definitions: </w:t>
      </w:r>
      <w:r w:rsidR="1A36C03C">
        <w:t>Work for Hire/Work Made for Hire (Applies only to Section I. Copyrights)</w:t>
      </w:r>
      <w:r w:rsidR="007820F2">
        <w:t xml:space="preserve"> - </w:t>
      </w:r>
      <w:r w:rsidR="4F045749">
        <w:t>Institution</w:t>
      </w:r>
      <w:r w:rsidR="44FC1D00">
        <w:t>-</w:t>
      </w:r>
      <w:r w:rsidR="4F045749">
        <w:t>Directed</w:t>
      </w:r>
    </w:p>
    <w:p w14:paraId="1357CF6E" w14:textId="072FD84E" w:rsidR="00987970" w:rsidRPr="006B2E25" w:rsidRDefault="3D23E0EB" w:rsidP="30921E80">
      <w:r w:rsidRPr="30921E80">
        <w:rPr>
          <w:b/>
          <w:bCs/>
        </w:rPr>
        <w:t>Original:</w:t>
      </w:r>
      <w:r>
        <w:t xml:space="preserve"> </w:t>
      </w:r>
      <w:r w:rsidR="0ACD18AC">
        <w:t xml:space="preserve">Work is institution-directed when the assignment is made to an employee in the normal course of </w:t>
      </w:r>
      <w:r w:rsidR="0ACD18AC" w:rsidRPr="30921E80">
        <w:rPr>
          <w:b/>
          <w:bCs/>
        </w:rPr>
        <w:t>his/her</w:t>
      </w:r>
      <w:r w:rsidR="0ACD18AC">
        <w:t xml:space="preserve"> employment.</w:t>
      </w:r>
    </w:p>
    <w:p w14:paraId="5CF68778" w14:textId="5ABD996C" w:rsidR="00987970" w:rsidRPr="006B2E25" w:rsidRDefault="3D23E0EB" w:rsidP="30921E80">
      <w:r w:rsidRPr="30921E80">
        <w:rPr>
          <w:b/>
          <w:bCs/>
        </w:rPr>
        <w:t>Revised:</w:t>
      </w:r>
      <w:r w:rsidR="74A6B014">
        <w:t xml:space="preserve"> Work is institution-directed when the assignment is made to an employee in the normal course of employment.</w:t>
      </w:r>
    </w:p>
    <w:p w14:paraId="0F4C5792" w14:textId="6375C320" w:rsidR="6620A00F" w:rsidRDefault="6620A00F" w:rsidP="00D36817">
      <w:pPr>
        <w:pStyle w:val="Heading4"/>
      </w:pPr>
      <w:r>
        <w:lastRenderedPageBreak/>
        <w:t>V.</w:t>
      </w:r>
      <w:r w:rsidR="005426CF" w:rsidRPr="005426CF">
        <w:t xml:space="preserve"> Institutional Procedures</w:t>
      </w:r>
      <w:r w:rsidR="005426CF">
        <w:t xml:space="preserve"> </w:t>
      </w:r>
      <w:r>
        <w:t>B.</w:t>
      </w:r>
      <w:r w:rsidR="0016442C">
        <w:t xml:space="preserve"> </w:t>
      </w:r>
      <w:r w:rsidR="0016442C" w:rsidRPr="0016442C">
        <w:t>Intellectual Property Advisory Committee</w:t>
      </w:r>
    </w:p>
    <w:p w14:paraId="52E2130C" w14:textId="797DF4D8" w:rsidR="6620A00F" w:rsidRDefault="6620A00F" w:rsidP="30921E80">
      <w:r w:rsidRPr="30921E80">
        <w:rPr>
          <w:b/>
          <w:bCs/>
        </w:rPr>
        <w:t>Original:</w:t>
      </w:r>
      <w:r>
        <w:t xml:space="preserve"> IPAC will be appointed by the president and will consist of at least eight members plus the Vice President for Research or </w:t>
      </w:r>
      <w:r w:rsidRPr="30921E80">
        <w:rPr>
          <w:b/>
          <w:bCs/>
        </w:rPr>
        <w:t>his/her</w:t>
      </w:r>
      <w:r>
        <w:t xml:space="preserve"> designee, who will serve as chair.</w:t>
      </w:r>
    </w:p>
    <w:p w14:paraId="113096B9" w14:textId="6A962EAB" w:rsidR="6620A00F" w:rsidRDefault="6620A00F" w:rsidP="30921E80">
      <w:r w:rsidRPr="30921E80">
        <w:rPr>
          <w:b/>
          <w:bCs/>
        </w:rPr>
        <w:t>Revised:</w:t>
      </w:r>
      <w:r>
        <w:t xml:space="preserve"> IPAC will be appointed by the president and will consist of at least eight members plus the Vice President for Research or </w:t>
      </w:r>
      <w:r w:rsidR="4AD3F3D9" w:rsidRPr="30921E80">
        <w:rPr>
          <w:b/>
          <w:bCs/>
        </w:rPr>
        <w:t>a</w:t>
      </w:r>
      <w:r>
        <w:t xml:space="preserve"> designee, who will serve as chair.</w:t>
      </w:r>
    </w:p>
    <w:p w14:paraId="76C26E1E" w14:textId="62C3C29D" w:rsidR="3C06CBC4" w:rsidRDefault="3C06CBC4" w:rsidP="00D36817">
      <w:pPr>
        <w:pStyle w:val="Heading4"/>
      </w:pPr>
      <w:r>
        <w:t>V.</w:t>
      </w:r>
      <w:r w:rsidR="00122E2B" w:rsidRPr="00122E2B">
        <w:t xml:space="preserve"> Institutional Procedures</w:t>
      </w:r>
      <w:r w:rsidR="00122E2B">
        <w:t xml:space="preserve"> </w:t>
      </w:r>
      <w:r>
        <w:t>B.</w:t>
      </w:r>
      <w:r w:rsidR="0016442C" w:rsidRPr="0016442C">
        <w:t xml:space="preserve"> Intellectual Property Advisory Committee</w:t>
      </w:r>
      <w:r w:rsidR="0016442C">
        <w:t xml:space="preserve"> </w:t>
      </w:r>
      <w:r>
        <w:t>1.</w:t>
      </w:r>
    </w:p>
    <w:p w14:paraId="3F17BA47" w14:textId="6A8E5AC2" w:rsidR="3C06CBC4" w:rsidRDefault="3C06CBC4" w:rsidP="30921E80">
      <w:r w:rsidRPr="30921E80">
        <w:rPr>
          <w:b/>
          <w:bCs/>
        </w:rPr>
        <w:t>Original:</w:t>
      </w:r>
      <w:r>
        <w:t xml:space="preserve"> The Vice President or </w:t>
      </w:r>
      <w:r w:rsidRPr="30921E80">
        <w:rPr>
          <w:b/>
          <w:bCs/>
        </w:rPr>
        <w:t>his/her</w:t>
      </w:r>
      <w:r>
        <w:t xml:space="preserve"> designee will promptly notify the creator(s) of the IPAC decision.</w:t>
      </w:r>
    </w:p>
    <w:p w14:paraId="08AFD7E3" w14:textId="25D62325" w:rsidR="3C06CBC4" w:rsidRDefault="3C06CBC4" w:rsidP="30921E80">
      <w:r w:rsidRPr="30921E80">
        <w:rPr>
          <w:b/>
          <w:bCs/>
        </w:rPr>
        <w:t xml:space="preserve">Revised: </w:t>
      </w:r>
      <w:r>
        <w:t xml:space="preserve">The Vice President or </w:t>
      </w:r>
      <w:r w:rsidR="131BA942" w:rsidRPr="30921E80">
        <w:rPr>
          <w:b/>
          <w:bCs/>
        </w:rPr>
        <w:t>a</w:t>
      </w:r>
      <w:r>
        <w:t xml:space="preserve"> designee will promptly notify the creator(s) of the IPAC decision.</w:t>
      </w:r>
    </w:p>
    <w:p w14:paraId="1531699D" w14:textId="695A6048" w:rsidR="00F80087" w:rsidRDefault="004D46BF" w:rsidP="004D46BF">
      <w:pPr>
        <w:pStyle w:val="Heading3"/>
      </w:pPr>
      <w:r>
        <w:t>Appendix V: Student Grievance Procedures</w:t>
      </w:r>
      <w:r w:rsidR="00F80087">
        <w:t xml:space="preserve"> </w:t>
      </w:r>
      <w:r>
        <w:t>Student Grievance Procedures</w:t>
      </w:r>
    </w:p>
    <w:p w14:paraId="4F5AFD8F" w14:textId="75BA6CFA" w:rsidR="00F80087" w:rsidRDefault="0014141C" w:rsidP="00ED304A">
      <w:pPr>
        <w:pStyle w:val="Heading4"/>
      </w:pPr>
      <w:r>
        <w:t>A.1.</w:t>
      </w:r>
      <w:r w:rsidR="00C11801">
        <w:t>1.3d.</w:t>
      </w:r>
    </w:p>
    <w:p w14:paraId="1711AD04" w14:textId="06EF8666" w:rsidR="00ED304A" w:rsidRPr="00ED304A" w:rsidRDefault="16A8BAAE" w:rsidP="00ED304A">
      <w:r w:rsidRPr="30921E80">
        <w:rPr>
          <w:b/>
          <w:bCs/>
        </w:rPr>
        <w:t>Original:</w:t>
      </w:r>
      <w:r>
        <w:t xml:space="preserve"> If the student does not feel that an adequate solution has been reached in the grade appeal dispute, </w:t>
      </w:r>
      <w:r w:rsidRPr="30921E80">
        <w:rPr>
          <w:b/>
          <w:bCs/>
        </w:rPr>
        <w:t>he or she</w:t>
      </w:r>
      <w:r>
        <w:t xml:space="preserve"> may appeal in writing to the Undergraduate Grievance Board which will arbitrate the dispute.</w:t>
      </w:r>
    </w:p>
    <w:p w14:paraId="7F2EEB3C" w14:textId="145867EC" w:rsidR="16A8BAAE" w:rsidRDefault="16A8BAAE">
      <w:r w:rsidRPr="30921E80">
        <w:rPr>
          <w:b/>
          <w:bCs/>
        </w:rPr>
        <w:t>Revised:</w:t>
      </w:r>
      <w:r>
        <w:t xml:space="preserve"> If the student does not feel that an adequate solution has been reached in the grade appeal dispute, </w:t>
      </w:r>
      <w:r w:rsidR="29A910CE" w:rsidRPr="30921E80">
        <w:rPr>
          <w:b/>
          <w:bCs/>
        </w:rPr>
        <w:t>the student</w:t>
      </w:r>
      <w:r>
        <w:t xml:space="preserve"> may appeal in writing to the Undergraduate Grievance Board which will arbitrate the dispute.</w:t>
      </w:r>
    </w:p>
    <w:p w14:paraId="18372C2C" w14:textId="615501C2" w:rsidR="00A716BB" w:rsidRDefault="00773BF1" w:rsidP="004D46BF">
      <w:pPr>
        <w:pStyle w:val="Heading3"/>
      </w:pPr>
      <w:hyperlink r:id="rId13" w:history="1">
        <w:r w:rsidRPr="00637C00">
          <w:t>Appendix W: Post-Tenure Review Policy</w:t>
        </w:r>
      </w:hyperlink>
    </w:p>
    <w:p w14:paraId="676A9146" w14:textId="15A30B3B" w:rsidR="00DB045F" w:rsidRDefault="008A24D9" w:rsidP="008A24D9">
      <w:pPr>
        <w:pStyle w:val="Heading4"/>
      </w:pPr>
      <w:r>
        <w:t>I.A.1</w:t>
      </w:r>
    </w:p>
    <w:p w14:paraId="087F22D3" w14:textId="30E31525" w:rsidR="008A24D9" w:rsidRPr="008A24D9" w:rsidRDefault="5B0FC6C3" w:rsidP="008A24D9">
      <w:r w:rsidRPr="30921E80">
        <w:rPr>
          <w:b/>
          <w:bCs/>
        </w:rPr>
        <w:t xml:space="preserve">Original: </w:t>
      </w:r>
      <w:r>
        <w:t xml:space="preserve">In no case should post-tenure review be used to shift the burden of proof from the institution's administration (to show cause why a tenured faculty member should be dismissed) to the individual faculty member (to show cause why </w:t>
      </w:r>
      <w:r w:rsidRPr="30921E80">
        <w:rPr>
          <w:b/>
          <w:bCs/>
        </w:rPr>
        <w:t>he or she</w:t>
      </w:r>
      <w:r>
        <w:t xml:space="preserve"> should be retained).</w:t>
      </w:r>
    </w:p>
    <w:p w14:paraId="3A6BA76E" w14:textId="045B270F" w:rsidR="5B0FC6C3" w:rsidRDefault="5B0FC6C3">
      <w:r w:rsidRPr="30921E80">
        <w:rPr>
          <w:b/>
          <w:bCs/>
        </w:rPr>
        <w:t>Revised:</w:t>
      </w:r>
      <w:r>
        <w:t xml:space="preserve"> In no case should post-tenure review be used to shift the burden of proof from the institution's administration (to show cause why a tenured faculty member should be dismissed) to the individual faculty member (to show cause why </w:t>
      </w:r>
      <w:r w:rsidR="34838EB5" w:rsidRPr="30921E80">
        <w:rPr>
          <w:b/>
          <w:bCs/>
        </w:rPr>
        <w:t>the individual</w:t>
      </w:r>
      <w:r>
        <w:t xml:space="preserve"> should be retained).</w:t>
      </w:r>
    </w:p>
    <w:sectPr w:rsidR="5B0FC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AC7"/>
    <w:multiLevelType w:val="hybridMultilevel"/>
    <w:tmpl w:val="4C48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7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6E8A38"/>
    <w:rsid w:val="00003C84"/>
    <w:rsid w:val="00013247"/>
    <w:rsid w:val="00016B4F"/>
    <w:rsid w:val="000251DA"/>
    <w:rsid w:val="00025E62"/>
    <w:rsid w:val="000310AE"/>
    <w:rsid w:val="0003115F"/>
    <w:rsid w:val="00031B12"/>
    <w:rsid w:val="00034B50"/>
    <w:rsid w:val="00037D78"/>
    <w:rsid w:val="00046326"/>
    <w:rsid w:val="0005019A"/>
    <w:rsid w:val="000507B4"/>
    <w:rsid w:val="00052B88"/>
    <w:rsid w:val="0005544F"/>
    <w:rsid w:val="000560BE"/>
    <w:rsid w:val="00057C84"/>
    <w:rsid w:val="0006020A"/>
    <w:rsid w:val="00063A67"/>
    <w:rsid w:val="000649D1"/>
    <w:rsid w:val="0006651D"/>
    <w:rsid w:val="00075CAD"/>
    <w:rsid w:val="00085927"/>
    <w:rsid w:val="000867FC"/>
    <w:rsid w:val="00093558"/>
    <w:rsid w:val="000952EC"/>
    <w:rsid w:val="00095621"/>
    <w:rsid w:val="000A2A64"/>
    <w:rsid w:val="000A621E"/>
    <w:rsid w:val="000B0D7F"/>
    <w:rsid w:val="000B0F55"/>
    <w:rsid w:val="000B3D58"/>
    <w:rsid w:val="000B4BA0"/>
    <w:rsid w:val="000C16B8"/>
    <w:rsid w:val="000D5AD9"/>
    <w:rsid w:val="000E79E8"/>
    <w:rsid w:val="000F006D"/>
    <w:rsid w:val="000F02F0"/>
    <w:rsid w:val="000F3FA4"/>
    <w:rsid w:val="000F65AD"/>
    <w:rsid w:val="000F71A1"/>
    <w:rsid w:val="00101170"/>
    <w:rsid w:val="00116A9D"/>
    <w:rsid w:val="00122E2B"/>
    <w:rsid w:val="00123732"/>
    <w:rsid w:val="00127A8C"/>
    <w:rsid w:val="001400A1"/>
    <w:rsid w:val="0014141C"/>
    <w:rsid w:val="00150748"/>
    <w:rsid w:val="00150A1C"/>
    <w:rsid w:val="001521BE"/>
    <w:rsid w:val="00153864"/>
    <w:rsid w:val="0015557A"/>
    <w:rsid w:val="0016442C"/>
    <w:rsid w:val="00171A00"/>
    <w:rsid w:val="00172896"/>
    <w:rsid w:val="00182B7E"/>
    <w:rsid w:val="00187CDB"/>
    <w:rsid w:val="001909A9"/>
    <w:rsid w:val="00190EA0"/>
    <w:rsid w:val="00192F9E"/>
    <w:rsid w:val="00193063"/>
    <w:rsid w:val="001A37E1"/>
    <w:rsid w:val="001B1359"/>
    <w:rsid w:val="001B13D2"/>
    <w:rsid w:val="001C010E"/>
    <w:rsid w:val="001C4EC6"/>
    <w:rsid w:val="001E090D"/>
    <w:rsid w:val="001E0BA4"/>
    <w:rsid w:val="001E2934"/>
    <w:rsid w:val="001E35F8"/>
    <w:rsid w:val="001E799C"/>
    <w:rsid w:val="001F1BE8"/>
    <w:rsid w:val="001F4D63"/>
    <w:rsid w:val="001F652A"/>
    <w:rsid w:val="001F743D"/>
    <w:rsid w:val="002000CB"/>
    <w:rsid w:val="0020252B"/>
    <w:rsid w:val="00204C70"/>
    <w:rsid w:val="0020690F"/>
    <w:rsid w:val="002102BD"/>
    <w:rsid w:val="002166C7"/>
    <w:rsid w:val="00217E19"/>
    <w:rsid w:val="00222865"/>
    <w:rsid w:val="00230A41"/>
    <w:rsid w:val="00231236"/>
    <w:rsid w:val="00244F26"/>
    <w:rsid w:val="0024517B"/>
    <w:rsid w:val="0024600A"/>
    <w:rsid w:val="002522E9"/>
    <w:rsid w:val="0026497A"/>
    <w:rsid w:val="00266421"/>
    <w:rsid w:val="00270534"/>
    <w:rsid w:val="00272E5D"/>
    <w:rsid w:val="002829D2"/>
    <w:rsid w:val="002841D4"/>
    <w:rsid w:val="002841D9"/>
    <w:rsid w:val="0028452A"/>
    <w:rsid w:val="002867E3"/>
    <w:rsid w:val="002A58D7"/>
    <w:rsid w:val="002A5EF5"/>
    <w:rsid w:val="002A7939"/>
    <w:rsid w:val="002B3255"/>
    <w:rsid w:val="002C5DFC"/>
    <w:rsid w:val="002D0B86"/>
    <w:rsid w:val="002D7041"/>
    <w:rsid w:val="002E0397"/>
    <w:rsid w:val="002E5162"/>
    <w:rsid w:val="002E5893"/>
    <w:rsid w:val="002F5F96"/>
    <w:rsid w:val="002F7192"/>
    <w:rsid w:val="00301AB3"/>
    <w:rsid w:val="00304794"/>
    <w:rsid w:val="0030487D"/>
    <w:rsid w:val="00312C87"/>
    <w:rsid w:val="003165BE"/>
    <w:rsid w:val="00323EE3"/>
    <w:rsid w:val="003275F2"/>
    <w:rsid w:val="0033208D"/>
    <w:rsid w:val="003346D3"/>
    <w:rsid w:val="00341C4A"/>
    <w:rsid w:val="00342948"/>
    <w:rsid w:val="00347ABA"/>
    <w:rsid w:val="00351D02"/>
    <w:rsid w:val="00355A19"/>
    <w:rsid w:val="003567C4"/>
    <w:rsid w:val="003644E6"/>
    <w:rsid w:val="00376D37"/>
    <w:rsid w:val="00393635"/>
    <w:rsid w:val="00396AB3"/>
    <w:rsid w:val="003978FA"/>
    <w:rsid w:val="003A1478"/>
    <w:rsid w:val="003A2D2E"/>
    <w:rsid w:val="003A73A6"/>
    <w:rsid w:val="003B5372"/>
    <w:rsid w:val="003D0D99"/>
    <w:rsid w:val="003D24C0"/>
    <w:rsid w:val="003D446E"/>
    <w:rsid w:val="003E08CC"/>
    <w:rsid w:val="003E627A"/>
    <w:rsid w:val="003E72F3"/>
    <w:rsid w:val="003F0B2E"/>
    <w:rsid w:val="003F1188"/>
    <w:rsid w:val="003F2A4B"/>
    <w:rsid w:val="004048C9"/>
    <w:rsid w:val="004101DF"/>
    <w:rsid w:val="00422C79"/>
    <w:rsid w:val="00427C0F"/>
    <w:rsid w:val="00432A55"/>
    <w:rsid w:val="00436629"/>
    <w:rsid w:val="00437BBC"/>
    <w:rsid w:val="004441CC"/>
    <w:rsid w:val="00451200"/>
    <w:rsid w:val="00451A71"/>
    <w:rsid w:val="00452573"/>
    <w:rsid w:val="0045723C"/>
    <w:rsid w:val="0046130C"/>
    <w:rsid w:val="00462557"/>
    <w:rsid w:val="0046325A"/>
    <w:rsid w:val="00467D14"/>
    <w:rsid w:val="0048161C"/>
    <w:rsid w:val="00487C2F"/>
    <w:rsid w:val="004908B6"/>
    <w:rsid w:val="00496DC7"/>
    <w:rsid w:val="004978B9"/>
    <w:rsid w:val="004A1495"/>
    <w:rsid w:val="004A70C3"/>
    <w:rsid w:val="004B0A2E"/>
    <w:rsid w:val="004C1301"/>
    <w:rsid w:val="004C165F"/>
    <w:rsid w:val="004C2BB0"/>
    <w:rsid w:val="004C4C3F"/>
    <w:rsid w:val="004D1A36"/>
    <w:rsid w:val="004D46BF"/>
    <w:rsid w:val="004D539E"/>
    <w:rsid w:val="004E0A20"/>
    <w:rsid w:val="004E133C"/>
    <w:rsid w:val="004F0284"/>
    <w:rsid w:val="00504FAD"/>
    <w:rsid w:val="00505BD9"/>
    <w:rsid w:val="0052058A"/>
    <w:rsid w:val="00525504"/>
    <w:rsid w:val="005320BE"/>
    <w:rsid w:val="0053423F"/>
    <w:rsid w:val="00535752"/>
    <w:rsid w:val="00541268"/>
    <w:rsid w:val="00541631"/>
    <w:rsid w:val="005426CF"/>
    <w:rsid w:val="0055385F"/>
    <w:rsid w:val="00553C1E"/>
    <w:rsid w:val="00561AEB"/>
    <w:rsid w:val="00561E7C"/>
    <w:rsid w:val="005669A9"/>
    <w:rsid w:val="00567853"/>
    <w:rsid w:val="00570CDE"/>
    <w:rsid w:val="005729ED"/>
    <w:rsid w:val="00574386"/>
    <w:rsid w:val="00576522"/>
    <w:rsid w:val="005827E5"/>
    <w:rsid w:val="00582A65"/>
    <w:rsid w:val="0058421D"/>
    <w:rsid w:val="00584E85"/>
    <w:rsid w:val="005A3EEE"/>
    <w:rsid w:val="005A5117"/>
    <w:rsid w:val="005B2661"/>
    <w:rsid w:val="005C362C"/>
    <w:rsid w:val="005C4017"/>
    <w:rsid w:val="005C560B"/>
    <w:rsid w:val="005C5635"/>
    <w:rsid w:val="005C63B1"/>
    <w:rsid w:val="005D2F36"/>
    <w:rsid w:val="005D42EC"/>
    <w:rsid w:val="005F0587"/>
    <w:rsid w:val="005F0B82"/>
    <w:rsid w:val="005F3E56"/>
    <w:rsid w:val="0060217C"/>
    <w:rsid w:val="0060296A"/>
    <w:rsid w:val="0060703E"/>
    <w:rsid w:val="006169A0"/>
    <w:rsid w:val="00620DD3"/>
    <w:rsid w:val="0062678F"/>
    <w:rsid w:val="006279A4"/>
    <w:rsid w:val="00627B4C"/>
    <w:rsid w:val="00630A75"/>
    <w:rsid w:val="00630F00"/>
    <w:rsid w:val="006321C5"/>
    <w:rsid w:val="0063398C"/>
    <w:rsid w:val="00633DD4"/>
    <w:rsid w:val="00634291"/>
    <w:rsid w:val="00637C00"/>
    <w:rsid w:val="006439C1"/>
    <w:rsid w:val="00643D84"/>
    <w:rsid w:val="00650045"/>
    <w:rsid w:val="006536A1"/>
    <w:rsid w:val="00661443"/>
    <w:rsid w:val="006724E4"/>
    <w:rsid w:val="006761C2"/>
    <w:rsid w:val="00682427"/>
    <w:rsid w:val="00696BD8"/>
    <w:rsid w:val="00697FE0"/>
    <w:rsid w:val="006A2422"/>
    <w:rsid w:val="006B11F5"/>
    <w:rsid w:val="006B2E25"/>
    <w:rsid w:val="006B739E"/>
    <w:rsid w:val="006C35FC"/>
    <w:rsid w:val="006C6818"/>
    <w:rsid w:val="006C76AD"/>
    <w:rsid w:val="006D023F"/>
    <w:rsid w:val="006D0CF7"/>
    <w:rsid w:val="006E03E6"/>
    <w:rsid w:val="006E2BA9"/>
    <w:rsid w:val="006E41D2"/>
    <w:rsid w:val="006E589D"/>
    <w:rsid w:val="006E6DFF"/>
    <w:rsid w:val="006F0107"/>
    <w:rsid w:val="006F2700"/>
    <w:rsid w:val="006F3DBC"/>
    <w:rsid w:val="006F7CF8"/>
    <w:rsid w:val="00707CBD"/>
    <w:rsid w:val="00715A19"/>
    <w:rsid w:val="007173FA"/>
    <w:rsid w:val="00721439"/>
    <w:rsid w:val="00726F71"/>
    <w:rsid w:val="0073014C"/>
    <w:rsid w:val="00731E7C"/>
    <w:rsid w:val="007359D9"/>
    <w:rsid w:val="007406E9"/>
    <w:rsid w:val="00744DDE"/>
    <w:rsid w:val="00750697"/>
    <w:rsid w:val="0075447C"/>
    <w:rsid w:val="0075694E"/>
    <w:rsid w:val="00767E5F"/>
    <w:rsid w:val="00770F2C"/>
    <w:rsid w:val="007717F5"/>
    <w:rsid w:val="00773BF1"/>
    <w:rsid w:val="007820F2"/>
    <w:rsid w:val="00785305"/>
    <w:rsid w:val="00787C46"/>
    <w:rsid w:val="00790657"/>
    <w:rsid w:val="00792257"/>
    <w:rsid w:val="0079790A"/>
    <w:rsid w:val="007A5DA6"/>
    <w:rsid w:val="007B1398"/>
    <w:rsid w:val="007B258F"/>
    <w:rsid w:val="007B2DF8"/>
    <w:rsid w:val="007B4439"/>
    <w:rsid w:val="007B5E8B"/>
    <w:rsid w:val="007B690F"/>
    <w:rsid w:val="007B758A"/>
    <w:rsid w:val="007D1ECF"/>
    <w:rsid w:val="007D24DC"/>
    <w:rsid w:val="007D41B8"/>
    <w:rsid w:val="007D4257"/>
    <w:rsid w:val="007D5DED"/>
    <w:rsid w:val="007E0DD7"/>
    <w:rsid w:val="007E5327"/>
    <w:rsid w:val="007E545A"/>
    <w:rsid w:val="007E6012"/>
    <w:rsid w:val="007E6889"/>
    <w:rsid w:val="007F25FD"/>
    <w:rsid w:val="007F559D"/>
    <w:rsid w:val="0080177B"/>
    <w:rsid w:val="00804B64"/>
    <w:rsid w:val="00805749"/>
    <w:rsid w:val="00807711"/>
    <w:rsid w:val="008159A1"/>
    <w:rsid w:val="00823FD4"/>
    <w:rsid w:val="00831493"/>
    <w:rsid w:val="008342C3"/>
    <w:rsid w:val="00845212"/>
    <w:rsid w:val="0085224C"/>
    <w:rsid w:val="008563D4"/>
    <w:rsid w:val="0085657E"/>
    <w:rsid w:val="00860749"/>
    <w:rsid w:val="00864BF6"/>
    <w:rsid w:val="0087023B"/>
    <w:rsid w:val="00872D29"/>
    <w:rsid w:val="0087679F"/>
    <w:rsid w:val="008812C5"/>
    <w:rsid w:val="0088494A"/>
    <w:rsid w:val="00885D79"/>
    <w:rsid w:val="008947BA"/>
    <w:rsid w:val="008A24D9"/>
    <w:rsid w:val="008A3630"/>
    <w:rsid w:val="008A6C13"/>
    <w:rsid w:val="008B2717"/>
    <w:rsid w:val="008B62DF"/>
    <w:rsid w:val="008B6FA9"/>
    <w:rsid w:val="008C4D97"/>
    <w:rsid w:val="008F4FD2"/>
    <w:rsid w:val="008F7426"/>
    <w:rsid w:val="00900953"/>
    <w:rsid w:val="00906462"/>
    <w:rsid w:val="009112A4"/>
    <w:rsid w:val="00915027"/>
    <w:rsid w:val="00917383"/>
    <w:rsid w:val="00922ECF"/>
    <w:rsid w:val="00931E9E"/>
    <w:rsid w:val="009342EB"/>
    <w:rsid w:val="0093555A"/>
    <w:rsid w:val="00941E9C"/>
    <w:rsid w:val="00942AED"/>
    <w:rsid w:val="00943AFA"/>
    <w:rsid w:val="009469E4"/>
    <w:rsid w:val="009573E8"/>
    <w:rsid w:val="009641DC"/>
    <w:rsid w:val="009649A1"/>
    <w:rsid w:val="00972D88"/>
    <w:rsid w:val="00974D0F"/>
    <w:rsid w:val="00976658"/>
    <w:rsid w:val="00976A9A"/>
    <w:rsid w:val="00982B60"/>
    <w:rsid w:val="00987970"/>
    <w:rsid w:val="009A27C9"/>
    <w:rsid w:val="009A5784"/>
    <w:rsid w:val="009A7535"/>
    <w:rsid w:val="009B03C0"/>
    <w:rsid w:val="009B1D98"/>
    <w:rsid w:val="009B1FC9"/>
    <w:rsid w:val="009B54AB"/>
    <w:rsid w:val="009C0DB6"/>
    <w:rsid w:val="009C3E2E"/>
    <w:rsid w:val="009C495F"/>
    <w:rsid w:val="009C7A35"/>
    <w:rsid w:val="009D57D0"/>
    <w:rsid w:val="009D7B8D"/>
    <w:rsid w:val="009F0BE3"/>
    <w:rsid w:val="00A0050A"/>
    <w:rsid w:val="00A02618"/>
    <w:rsid w:val="00A073F8"/>
    <w:rsid w:val="00A41D78"/>
    <w:rsid w:val="00A56E6D"/>
    <w:rsid w:val="00A62031"/>
    <w:rsid w:val="00A6431D"/>
    <w:rsid w:val="00A70281"/>
    <w:rsid w:val="00A70380"/>
    <w:rsid w:val="00A712DB"/>
    <w:rsid w:val="00A716BB"/>
    <w:rsid w:val="00A75EE3"/>
    <w:rsid w:val="00A818BC"/>
    <w:rsid w:val="00A83FCC"/>
    <w:rsid w:val="00A93BD0"/>
    <w:rsid w:val="00AA506C"/>
    <w:rsid w:val="00AB7346"/>
    <w:rsid w:val="00AC631E"/>
    <w:rsid w:val="00AC68F6"/>
    <w:rsid w:val="00AE0849"/>
    <w:rsid w:val="00AE2B7A"/>
    <w:rsid w:val="00AE5337"/>
    <w:rsid w:val="00AE6E3A"/>
    <w:rsid w:val="00AF51DA"/>
    <w:rsid w:val="00B002AA"/>
    <w:rsid w:val="00B01026"/>
    <w:rsid w:val="00B03032"/>
    <w:rsid w:val="00B12D3B"/>
    <w:rsid w:val="00B13CDB"/>
    <w:rsid w:val="00B16190"/>
    <w:rsid w:val="00B366D4"/>
    <w:rsid w:val="00B409B8"/>
    <w:rsid w:val="00B40A99"/>
    <w:rsid w:val="00B4731F"/>
    <w:rsid w:val="00B4753B"/>
    <w:rsid w:val="00B52257"/>
    <w:rsid w:val="00B60561"/>
    <w:rsid w:val="00B70A00"/>
    <w:rsid w:val="00B80C1E"/>
    <w:rsid w:val="00B85C94"/>
    <w:rsid w:val="00B921DC"/>
    <w:rsid w:val="00BA1353"/>
    <w:rsid w:val="00BA35E3"/>
    <w:rsid w:val="00BB7930"/>
    <w:rsid w:val="00BC394A"/>
    <w:rsid w:val="00BC68A7"/>
    <w:rsid w:val="00BC6C0F"/>
    <w:rsid w:val="00BF2040"/>
    <w:rsid w:val="00BF3201"/>
    <w:rsid w:val="00C07234"/>
    <w:rsid w:val="00C07A8E"/>
    <w:rsid w:val="00C11801"/>
    <w:rsid w:val="00C140E3"/>
    <w:rsid w:val="00C20735"/>
    <w:rsid w:val="00C36B0D"/>
    <w:rsid w:val="00C40BAB"/>
    <w:rsid w:val="00C45498"/>
    <w:rsid w:val="00C54354"/>
    <w:rsid w:val="00C609DA"/>
    <w:rsid w:val="00C622FB"/>
    <w:rsid w:val="00C63DAA"/>
    <w:rsid w:val="00C74401"/>
    <w:rsid w:val="00C7467F"/>
    <w:rsid w:val="00C80B26"/>
    <w:rsid w:val="00C81CE7"/>
    <w:rsid w:val="00C92DAD"/>
    <w:rsid w:val="00C95C46"/>
    <w:rsid w:val="00CA0ABC"/>
    <w:rsid w:val="00CA3B0B"/>
    <w:rsid w:val="00CB08D7"/>
    <w:rsid w:val="00CB0FBD"/>
    <w:rsid w:val="00CB38B0"/>
    <w:rsid w:val="00CB489C"/>
    <w:rsid w:val="00CB676C"/>
    <w:rsid w:val="00CB73AA"/>
    <w:rsid w:val="00CD235C"/>
    <w:rsid w:val="00CE2D60"/>
    <w:rsid w:val="00CE3B56"/>
    <w:rsid w:val="00CF2FA5"/>
    <w:rsid w:val="00D00CAF"/>
    <w:rsid w:val="00D01810"/>
    <w:rsid w:val="00D105FC"/>
    <w:rsid w:val="00D108F1"/>
    <w:rsid w:val="00D20292"/>
    <w:rsid w:val="00D23425"/>
    <w:rsid w:val="00D241A4"/>
    <w:rsid w:val="00D25A37"/>
    <w:rsid w:val="00D26CE1"/>
    <w:rsid w:val="00D30BBD"/>
    <w:rsid w:val="00D32275"/>
    <w:rsid w:val="00D32A0B"/>
    <w:rsid w:val="00D35C3A"/>
    <w:rsid w:val="00D36817"/>
    <w:rsid w:val="00D46BEE"/>
    <w:rsid w:val="00D56093"/>
    <w:rsid w:val="00D5617F"/>
    <w:rsid w:val="00D60084"/>
    <w:rsid w:val="00D65D17"/>
    <w:rsid w:val="00D71DAD"/>
    <w:rsid w:val="00D75EAB"/>
    <w:rsid w:val="00D8463E"/>
    <w:rsid w:val="00D86CF5"/>
    <w:rsid w:val="00D929D9"/>
    <w:rsid w:val="00D96DAB"/>
    <w:rsid w:val="00DA369A"/>
    <w:rsid w:val="00DB045F"/>
    <w:rsid w:val="00DC270D"/>
    <w:rsid w:val="00DC54AD"/>
    <w:rsid w:val="00DC62C1"/>
    <w:rsid w:val="00DD04DA"/>
    <w:rsid w:val="00DD0C4A"/>
    <w:rsid w:val="00DD4AD7"/>
    <w:rsid w:val="00DF206D"/>
    <w:rsid w:val="00E01FF3"/>
    <w:rsid w:val="00E02140"/>
    <w:rsid w:val="00E07046"/>
    <w:rsid w:val="00E07A31"/>
    <w:rsid w:val="00E12066"/>
    <w:rsid w:val="00E20787"/>
    <w:rsid w:val="00E23C06"/>
    <w:rsid w:val="00E26A3F"/>
    <w:rsid w:val="00E31229"/>
    <w:rsid w:val="00E46163"/>
    <w:rsid w:val="00E47170"/>
    <w:rsid w:val="00E51A4B"/>
    <w:rsid w:val="00E5371F"/>
    <w:rsid w:val="00E6507E"/>
    <w:rsid w:val="00E65FBB"/>
    <w:rsid w:val="00E66F6A"/>
    <w:rsid w:val="00E67A89"/>
    <w:rsid w:val="00E70C21"/>
    <w:rsid w:val="00E72609"/>
    <w:rsid w:val="00E74C23"/>
    <w:rsid w:val="00E807C3"/>
    <w:rsid w:val="00E837D3"/>
    <w:rsid w:val="00E85AB6"/>
    <w:rsid w:val="00E87D1F"/>
    <w:rsid w:val="00E90DDF"/>
    <w:rsid w:val="00E9356C"/>
    <w:rsid w:val="00E968CB"/>
    <w:rsid w:val="00EA5C96"/>
    <w:rsid w:val="00EB7AB3"/>
    <w:rsid w:val="00EC5A52"/>
    <w:rsid w:val="00EC6BD5"/>
    <w:rsid w:val="00ED1218"/>
    <w:rsid w:val="00ED304A"/>
    <w:rsid w:val="00ED3FC1"/>
    <w:rsid w:val="00ED620B"/>
    <w:rsid w:val="00EE0738"/>
    <w:rsid w:val="00EE7DE7"/>
    <w:rsid w:val="00EF0FD0"/>
    <w:rsid w:val="00EF1842"/>
    <w:rsid w:val="00EF26E1"/>
    <w:rsid w:val="00EF2712"/>
    <w:rsid w:val="00EF2C54"/>
    <w:rsid w:val="00EF47BB"/>
    <w:rsid w:val="00EF63FB"/>
    <w:rsid w:val="00F00E4A"/>
    <w:rsid w:val="00F01F2B"/>
    <w:rsid w:val="00F054F6"/>
    <w:rsid w:val="00F11063"/>
    <w:rsid w:val="00F17DDD"/>
    <w:rsid w:val="00F33CE8"/>
    <w:rsid w:val="00F34CD9"/>
    <w:rsid w:val="00F437BF"/>
    <w:rsid w:val="00F51F00"/>
    <w:rsid w:val="00F52C20"/>
    <w:rsid w:val="00F566EA"/>
    <w:rsid w:val="00F73CAA"/>
    <w:rsid w:val="00F80087"/>
    <w:rsid w:val="00F86CD9"/>
    <w:rsid w:val="00F96EBA"/>
    <w:rsid w:val="00FB6965"/>
    <w:rsid w:val="00FD110C"/>
    <w:rsid w:val="00FD328A"/>
    <w:rsid w:val="00FE4246"/>
    <w:rsid w:val="00FE5449"/>
    <w:rsid w:val="00FE71AA"/>
    <w:rsid w:val="00FF34DB"/>
    <w:rsid w:val="00FF515C"/>
    <w:rsid w:val="00FF5C99"/>
    <w:rsid w:val="02A75B45"/>
    <w:rsid w:val="03AC8C3F"/>
    <w:rsid w:val="04A5AD07"/>
    <w:rsid w:val="04C8650A"/>
    <w:rsid w:val="06238F8A"/>
    <w:rsid w:val="0725DF8C"/>
    <w:rsid w:val="073F3E91"/>
    <w:rsid w:val="0830985D"/>
    <w:rsid w:val="086E8A38"/>
    <w:rsid w:val="0A797118"/>
    <w:rsid w:val="0ACD18AC"/>
    <w:rsid w:val="0AFF81A7"/>
    <w:rsid w:val="0EED010F"/>
    <w:rsid w:val="0F21FC95"/>
    <w:rsid w:val="102D74A0"/>
    <w:rsid w:val="11125363"/>
    <w:rsid w:val="131BA942"/>
    <w:rsid w:val="13EB07EF"/>
    <w:rsid w:val="14D149AB"/>
    <w:rsid w:val="152752B8"/>
    <w:rsid w:val="159EB4FE"/>
    <w:rsid w:val="1656D0FF"/>
    <w:rsid w:val="1688A1FC"/>
    <w:rsid w:val="169C13C4"/>
    <w:rsid w:val="16A8BAAE"/>
    <w:rsid w:val="176DEA8D"/>
    <w:rsid w:val="17C964A5"/>
    <w:rsid w:val="19361F43"/>
    <w:rsid w:val="193FBF2E"/>
    <w:rsid w:val="1A1E3ECC"/>
    <w:rsid w:val="1A36C03C"/>
    <w:rsid w:val="1CFA8D75"/>
    <w:rsid w:val="1DB8981A"/>
    <w:rsid w:val="1E233591"/>
    <w:rsid w:val="1E3BAAB0"/>
    <w:rsid w:val="1EF80BE5"/>
    <w:rsid w:val="1FD584B9"/>
    <w:rsid w:val="2031F0B1"/>
    <w:rsid w:val="2097C09C"/>
    <w:rsid w:val="20D10265"/>
    <w:rsid w:val="2176C595"/>
    <w:rsid w:val="21A1774B"/>
    <w:rsid w:val="21CD9281"/>
    <w:rsid w:val="22A98B05"/>
    <w:rsid w:val="22C1F1EC"/>
    <w:rsid w:val="23C0AC9A"/>
    <w:rsid w:val="24081BED"/>
    <w:rsid w:val="24286CE3"/>
    <w:rsid w:val="24358F03"/>
    <w:rsid w:val="2550F284"/>
    <w:rsid w:val="2761307C"/>
    <w:rsid w:val="278AC949"/>
    <w:rsid w:val="2885D0D1"/>
    <w:rsid w:val="29459255"/>
    <w:rsid w:val="29A910CE"/>
    <w:rsid w:val="2A5D1777"/>
    <w:rsid w:val="2B1338A9"/>
    <w:rsid w:val="2BC02807"/>
    <w:rsid w:val="2C394859"/>
    <w:rsid w:val="2E9FD859"/>
    <w:rsid w:val="2F4546D5"/>
    <w:rsid w:val="2F4B9C03"/>
    <w:rsid w:val="2FB1A1B6"/>
    <w:rsid w:val="2FB494E0"/>
    <w:rsid w:val="2FD8E4E2"/>
    <w:rsid w:val="308B2F56"/>
    <w:rsid w:val="30921E80"/>
    <w:rsid w:val="318E4B14"/>
    <w:rsid w:val="32103764"/>
    <w:rsid w:val="324C7F5B"/>
    <w:rsid w:val="3297A8B5"/>
    <w:rsid w:val="32B0BA5C"/>
    <w:rsid w:val="33723214"/>
    <w:rsid w:val="33F4DC65"/>
    <w:rsid w:val="34037DAB"/>
    <w:rsid w:val="34755D8F"/>
    <w:rsid w:val="34838EB5"/>
    <w:rsid w:val="34DC6F19"/>
    <w:rsid w:val="35D86272"/>
    <w:rsid w:val="36E42DC3"/>
    <w:rsid w:val="3732B420"/>
    <w:rsid w:val="389CFC1E"/>
    <w:rsid w:val="3AE3BC11"/>
    <w:rsid w:val="3B088806"/>
    <w:rsid w:val="3B789463"/>
    <w:rsid w:val="3BA962DC"/>
    <w:rsid w:val="3BB2EA12"/>
    <w:rsid w:val="3C06CBC4"/>
    <w:rsid w:val="3C281F12"/>
    <w:rsid w:val="3C526805"/>
    <w:rsid w:val="3CD58784"/>
    <w:rsid w:val="3CD5E7A2"/>
    <w:rsid w:val="3D23E0EB"/>
    <w:rsid w:val="3D731115"/>
    <w:rsid w:val="3E441BE6"/>
    <w:rsid w:val="3EAD67F5"/>
    <w:rsid w:val="3F601819"/>
    <w:rsid w:val="3F8622F9"/>
    <w:rsid w:val="402FDBAA"/>
    <w:rsid w:val="40D5FC0D"/>
    <w:rsid w:val="418C1E6A"/>
    <w:rsid w:val="42BB6516"/>
    <w:rsid w:val="44FC1D00"/>
    <w:rsid w:val="457D921B"/>
    <w:rsid w:val="45F80561"/>
    <w:rsid w:val="45F9CEC7"/>
    <w:rsid w:val="460F6895"/>
    <w:rsid w:val="46889448"/>
    <w:rsid w:val="4735AC5E"/>
    <w:rsid w:val="47AA1B49"/>
    <w:rsid w:val="4850C5FD"/>
    <w:rsid w:val="4AD3F3D9"/>
    <w:rsid w:val="4ADC8D56"/>
    <w:rsid w:val="4C27B9DE"/>
    <w:rsid w:val="4C3C33E7"/>
    <w:rsid w:val="4C462A17"/>
    <w:rsid w:val="4D488CBF"/>
    <w:rsid w:val="4F045749"/>
    <w:rsid w:val="4F56A505"/>
    <w:rsid w:val="4F8A5C5C"/>
    <w:rsid w:val="4FFF9DEB"/>
    <w:rsid w:val="500CDB06"/>
    <w:rsid w:val="50269200"/>
    <w:rsid w:val="50A57D4C"/>
    <w:rsid w:val="514434D3"/>
    <w:rsid w:val="5194B1B5"/>
    <w:rsid w:val="5315E360"/>
    <w:rsid w:val="549E0CD7"/>
    <w:rsid w:val="5995544F"/>
    <w:rsid w:val="59FB2603"/>
    <w:rsid w:val="5B0FC6C3"/>
    <w:rsid w:val="5BDC9C07"/>
    <w:rsid w:val="5D6D3055"/>
    <w:rsid w:val="5DA41A73"/>
    <w:rsid w:val="5DD4F270"/>
    <w:rsid w:val="5EF53ED8"/>
    <w:rsid w:val="5F8F28ED"/>
    <w:rsid w:val="5F93B3C1"/>
    <w:rsid w:val="6096C3ED"/>
    <w:rsid w:val="610BDAB2"/>
    <w:rsid w:val="61A8B907"/>
    <w:rsid w:val="61D3945A"/>
    <w:rsid w:val="61F40271"/>
    <w:rsid w:val="62F7D328"/>
    <w:rsid w:val="631FAE1A"/>
    <w:rsid w:val="633FA8D9"/>
    <w:rsid w:val="6395AA6D"/>
    <w:rsid w:val="645D4D01"/>
    <w:rsid w:val="64BD8120"/>
    <w:rsid w:val="6620A00F"/>
    <w:rsid w:val="67916F19"/>
    <w:rsid w:val="68696E6C"/>
    <w:rsid w:val="6944C3A7"/>
    <w:rsid w:val="6A8671F6"/>
    <w:rsid w:val="6B0AA285"/>
    <w:rsid w:val="6C04D311"/>
    <w:rsid w:val="6C1B2DE3"/>
    <w:rsid w:val="6C7A9FAC"/>
    <w:rsid w:val="6DCCF3FF"/>
    <w:rsid w:val="6E3E75EE"/>
    <w:rsid w:val="6E679CC2"/>
    <w:rsid w:val="6EBFC4FA"/>
    <w:rsid w:val="6EEEE46A"/>
    <w:rsid w:val="6F7E7050"/>
    <w:rsid w:val="6F8ADDDB"/>
    <w:rsid w:val="7013D9DC"/>
    <w:rsid w:val="7097F3AC"/>
    <w:rsid w:val="720C22DC"/>
    <w:rsid w:val="73685499"/>
    <w:rsid w:val="74A6B014"/>
    <w:rsid w:val="75234FEC"/>
    <w:rsid w:val="75369A3F"/>
    <w:rsid w:val="75398685"/>
    <w:rsid w:val="75EC35C2"/>
    <w:rsid w:val="7612DE80"/>
    <w:rsid w:val="770CDB44"/>
    <w:rsid w:val="770F94CA"/>
    <w:rsid w:val="776CCEE3"/>
    <w:rsid w:val="77F9E4BB"/>
    <w:rsid w:val="784058C5"/>
    <w:rsid w:val="787C9153"/>
    <w:rsid w:val="78B9D79D"/>
    <w:rsid w:val="790195CB"/>
    <w:rsid w:val="7A38E6BA"/>
    <w:rsid w:val="7B7A1240"/>
    <w:rsid w:val="7C6320C1"/>
    <w:rsid w:val="7C652202"/>
    <w:rsid w:val="7C679722"/>
    <w:rsid w:val="7C9BB741"/>
    <w:rsid w:val="7CF250C0"/>
    <w:rsid w:val="7E3775C9"/>
    <w:rsid w:val="7FB5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377F"/>
  <w15:chartTrackingRefBased/>
  <w15:docId w15:val="{54344AD3-BB21-4DEB-B4BC-5FC2528E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B64"/>
    <w:rPr>
      <w:rFonts w:ascii="Garamond" w:hAnsi="Garamond"/>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3FA"/>
    <w:pPr>
      <w:keepNext/>
      <w:keepLines/>
      <w:spacing w:before="160" w:after="80"/>
      <w:outlineLvl w:val="1"/>
    </w:pPr>
    <w:rPr>
      <w:rFonts w:eastAsiaTheme="majorEastAsia"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982B60"/>
    <w:pPr>
      <w:keepNext/>
      <w:keepLines/>
      <w:spacing w:before="240" w:after="120" w:line="240" w:lineRule="auto"/>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3FA"/>
    <w:rPr>
      <w:rFonts w:ascii="Garamond" w:eastAsiaTheme="majorEastAsia" w:hAnsi="Garamond" w:cstheme="majorBidi"/>
      <w:b/>
      <w:bCs/>
      <w:color w:val="0F4761" w:themeColor="accent1" w:themeShade="BF"/>
      <w:sz w:val="32"/>
      <w:szCs w:val="32"/>
    </w:rPr>
  </w:style>
  <w:style w:type="character" w:customStyle="1" w:styleId="Heading3Char">
    <w:name w:val="Heading 3 Char"/>
    <w:basedOn w:val="DefaultParagraphFont"/>
    <w:link w:val="Heading3"/>
    <w:uiPriority w:val="9"/>
    <w:rsid w:val="00982B60"/>
    <w:rPr>
      <w:rFonts w:ascii="Garamond" w:eastAsiaTheme="majorEastAsia" w:hAnsi="Garamond" w:cstheme="majorBidi"/>
      <w:b/>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AE0849"/>
    <w:rPr>
      <w:color w:val="467886" w:themeColor="hyperlink"/>
      <w:u w:val="single"/>
    </w:rPr>
  </w:style>
  <w:style w:type="character" w:styleId="UnresolvedMention">
    <w:name w:val="Unresolved Mention"/>
    <w:basedOn w:val="DefaultParagraphFont"/>
    <w:uiPriority w:val="99"/>
    <w:semiHidden/>
    <w:unhideWhenUsed/>
    <w:rsid w:val="00AE0849"/>
    <w:rPr>
      <w:color w:val="605E5C"/>
      <w:shd w:val="clear" w:color="auto" w:fill="E1DFDD"/>
    </w:rPr>
  </w:style>
  <w:style w:type="paragraph" w:styleId="ListParagraph">
    <w:name w:val="List Paragraph"/>
    <w:basedOn w:val="Normal"/>
    <w:uiPriority w:val="34"/>
    <w:qFormat/>
    <w:rsid w:val="00976A9A"/>
    <w:pPr>
      <w:ind w:left="720"/>
      <w:contextualSpacing/>
    </w:pPr>
  </w:style>
  <w:style w:type="character" w:styleId="CommentReference">
    <w:name w:val="annotation reference"/>
    <w:basedOn w:val="DefaultParagraphFont"/>
    <w:uiPriority w:val="99"/>
    <w:semiHidden/>
    <w:unhideWhenUsed/>
    <w:rsid w:val="00576522"/>
    <w:rPr>
      <w:sz w:val="16"/>
      <w:szCs w:val="16"/>
    </w:rPr>
  </w:style>
  <w:style w:type="paragraph" w:styleId="CommentText">
    <w:name w:val="annotation text"/>
    <w:basedOn w:val="Normal"/>
    <w:link w:val="CommentTextChar"/>
    <w:uiPriority w:val="99"/>
    <w:unhideWhenUsed/>
    <w:rsid w:val="00576522"/>
    <w:pPr>
      <w:spacing w:line="240" w:lineRule="auto"/>
    </w:pPr>
    <w:rPr>
      <w:sz w:val="20"/>
      <w:szCs w:val="20"/>
    </w:rPr>
  </w:style>
  <w:style w:type="character" w:customStyle="1" w:styleId="CommentTextChar">
    <w:name w:val="Comment Text Char"/>
    <w:basedOn w:val="DefaultParagraphFont"/>
    <w:link w:val="CommentText"/>
    <w:uiPriority w:val="99"/>
    <w:rsid w:val="00576522"/>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576522"/>
    <w:rPr>
      <w:b/>
      <w:bCs/>
    </w:rPr>
  </w:style>
  <w:style w:type="character" w:customStyle="1" w:styleId="CommentSubjectChar">
    <w:name w:val="Comment Subject Char"/>
    <w:basedOn w:val="CommentTextChar"/>
    <w:link w:val="CommentSubject"/>
    <w:uiPriority w:val="99"/>
    <w:semiHidden/>
    <w:rsid w:val="00576522"/>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136">
      <w:bodyDiv w:val="1"/>
      <w:marLeft w:val="0"/>
      <w:marRight w:val="0"/>
      <w:marTop w:val="0"/>
      <w:marBottom w:val="0"/>
      <w:divBdr>
        <w:top w:val="none" w:sz="0" w:space="0" w:color="auto"/>
        <w:left w:val="none" w:sz="0" w:space="0" w:color="auto"/>
        <w:bottom w:val="none" w:sz="0" w:space="0" w:color="auto"/>
        <w:right w:val="none" w:sz="0" w:space="0" w:color="auto"/>
      </w:divBdr>
    </w:div>
    <w:div w:id="1629125016">
      <w:bodyDiv w:val="1"/>
      <w:marLeft w:val="0"/>
      <w:marRight w:val="0"/>
      <w:marTop w:val="0"/>
      <w:marBottom w:val="0"/>
      <w:divBdr>
        <w:top w:val="none" w:sz="0" w:space="0" w:color="auto"/>
        <w:left w:val="none" w:sz="0" w:space="0" w:color="auto"/>
        <w:bottom w:val="none" w:sz="0" w:space="0" w:color="auto"/>
        <w:right w:val="none" w:sz="0" w:space="0" w:color="auto"/>
      </w:divBdr>
    </w:div>
    <w:div w:id="1684434010">
      <w:bodyDiv w:val="1"/>
      <w:marLeft w:val="0"/>
      <w:marRight w:val="0"/>
      <w:marTop w:val="0"/>
      <w:marBottom w:val="0"/>
      <w:divBdr>
        <w:top w:val="none" w:sz="0" w:space="0" w:color="auto"/>
        <w:left w:val="none" w:sz="0" w:space="0" w:color="auto"/>
        <w:bottom w:val="none" w:sz="0" w:space="0" w:color="auto"/>
        <w:right w:val="none" w:sz="0" w:space="0" w:color="auto"/>
      </w:divBdr>
    </w:div>
    <w:div w:id="18079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tate.edu/provost/policies-resources/university-handbook/fhxf.html" TargetMode="External"/><Relationship Id="rId13" Type="http://schemas.openxmlformats.org/officeDocument/2006/relationships/hyperlink" Target="https://www.k-state.edu/provost/policies-resources/university-handbook/fhxw.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state.edu/provost/policies-resources/university-handbook/fhxr.htm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state.edu/provost/policies-resources/university-handbook/fhxk.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state.edu/provost/policies-resources/university-handbook/fhxj.html" TargetMode="External"/><Relationship Id="rId4" Type="http://schemas.openxmlformats.org/officeDocument/2006/relationships/numbering" Target="numbering.xml"/><Relationship Id="rId9" Type="http://schemas.openxmlformats.org/officeDocument/2006/relationships/hyperlink" Target="https://www.k-state.edu/provost/policies-resources/university-handbook/fhx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50862C5FCBA469DEF52E18FC17BC4" ma:contentTypeVersion="14" ma:contentTypeDescription="Create a new document." ma:contentTypeScope="" ma:versionID="bb75b0d19b0245ffd8349e4d9d124859">
  <xsd:schema xmlns:xsd="http://www.w3.org/2001/XMLSchema" xmlns:xs="http://www.w3.org/2001/XMLSchema" xmlns:p="http://schemas.microsoft.com/office/2006/metadata/properties" xmlns:ns2="17b4af3f-05a0-4803-ba5c-b6ac2e549bc3" xmlns:ns3="96023e0d-2951-45ac-9019-1830969b190c" targetNamespace="http://schemas.microsoft.com/office/2006/metadata/properties" ma:root="true" ma:fieldsID="8ffddc62ed0413831c3b86df051635d1" ns2:_="" ns3:_="">
    <xsd:import namespace="17b4af3f-05a0-4803-ba5c-b6ac2e549bc3"/>
    <xsd:import namespace="96023e0d-2951-45ac-9019-1830969b19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4af3f-05a0-4803-ba5c-b6ac2e549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023e0d-2951-45ac-9019-1830969b19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6e5614-44f2-491f-b444-785e34e7d9e1}" ma:internalName="TaxCatchAll" ma:showField="CatchAllData" ma:web="96023e0d-2951-45ac-9019-1830969b1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b4af3f-05a0-4803-ba5c-b6ac2e549bc3">
      <Terms xmlns="http://schemas.microsoft.com/office/infopath/2007/PartnerControls"/>
    </lcf76f155ced4ddcb4097134ff3c332f>
    <TaxCatchAll xmlns="96023e0d-2951-45ac-9019-1830969b19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1674E-ECD8-40EA-B134-9DD2D65615F8}"/>
</file>

<file path=customXml/itemProps2.xml><?xml version="1.0" encoding="utf-8"?>
<ds:datastoreItem xmlns:ds="http://schemas.openxmlformats.org/officeDocument/2006/customXml" ds:itemID="{D92A149D-9DBB-4BDA-B997-AA3720CA7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2934F-584B-40D7-97FA-A9CFB6446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2057</Words>
  <Characters>11658</Characters>
  <Application>Microsoft Office Word</Application>
  <DocSecurity>0</DocSecurity>
  <Lines>197</Lines>
  <Paragraphs>93</Paragraphs>
  <ScaleCrop>false</ScaleCrop>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Goins</dc:creator>
  <cp:keywords/>
  <dc:description/>
  <cp:lastModifiedBy>Brandon Savage</cp:lastModifiedBy>
  <cp:revision>2</cp:revision>
  <dcterms:created xsi:type="dcterms:W3CDTF">2026-02-16T19:18:00Z</dcterms:created>
  <dcterms:modified xsi:type="dcterms:W3CDTF">2026-02-16T19:18:00Z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0x010100DB450862C5FCBA469DEF52E18FC17BC4</vt:lpwstr>
  </property>
</Properties>
</file>