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43BD" w14:textId="77777777" w:rsidR="00AF2361" w:rsidRPr="00AD5E76" w:rsidRDefault="005E2780">
      <w:pPr>
        <w:spacing w:after="120"/>
        <w:jc w:val="center"/>
        <w:rPr>
          <w:rFonts w:ascii="Calibri Light" w:eastAsia="Calibri Light" w:hAnsi="Calibri Light" w:cs="Calibri Light"/>
          <w:b/>
          <w:bCs/>
          <w:sz w:val="28"/>
          <w:szCs w:val="28"/>
        </w:rPr>
      </w:pPr>
      <w:bookmarkStart w:id="0" w:name="OLE_LINK112"/>
      <w:r w:rsidRPr="00AD5E76">
        <w:rPr>
          <w:rFonts w:ascii="Calibri Light" w:eastAsia="Calibri Light" w:hAnsi="Calibri Light" w:cs="Calibri Light"/>
          <w:b/>
          <w:bCs/>
          <w:sz w:val="28"/>
          <w:szCs w:val="28"/>
        </w:rPr>
        <w:t>Kansas State University</w:t>
      </w:r>
    </w:p>
    <w:p w14:paraId="0BC691AA" w14:textId="6C687DC8" w:rsidR="00225E46" w:rsidRDefault="53D53E8D" w:rsidP="00225E46">
      <w:pPr>
        <w:spacing w:after="120"/>
        <w:jc w:val="center"/>
        <w:rPr>
          <w:rFonts w:ascii="Calibri Light" w:eastAsia="Calibri Light" w:hAnsi="Calibri Light" w:cs="Calibri Light"/>
          <w:b/>
          <w:bCs/>
          <w:sz w:val="28"/>
          <w:szCs w:val="28"/>
        </w:rPr>
      </w:pPr>
      <w:commentRangeStart w:id="1"/>
      <w:commentRangeStart w:id="2"/>
      <w:commentRangeStart w:id="3"/>
      <w:r w:rsidRPr="084C6936">
        <w:rPr>
          <w:rFonts w:ascii="Calibri Light" w:eastAsia="Calibri Light" w:hAnsi="Calibri Light" w:cs="Calibri Light"/>
          <w:b/>
          <w:bCs/>
          <w:sz w:val="28"/>
          <w:szCs w:val="28"/>
        </w:rPr>
        <w:t>Syllabus</w:t>
      </w:r>
      <w:commentRangeEnd w:id="1"/>
      <w:r w:rsidR="00B174C4" w:rsidRPr="084C6936">
        <w:rPr>
          <w:rStyle w:val="CommentReference"/>
          <w:rFonts w:ascii="Calibri Light" w:eastAsia="Calibri Light" w:hAnsi="Calibri Light" w:cs="Calibri Light"/>
          <w:b/>
          <w:bCs/>
          <w:sz w:val="28"/>
          <w:szCs w:val="28"/>
        </w:rPr>
        <w:commentReference w:id="1"/>
      </w:r>
      <w:commentRangeEnd w:id="2"/>
      <w:r w:rsidR="00663377" w:rsidRPr="084C6936">
        <w:rPr>
          <w:rStyle w:val="CommentReference"/>
          <w:rFonts w:ascii="Calibri Light" w:eastAsia="Calibri Light" w:hAnsi="Calibri Light" w:cs="Calibri Light"/>
          <w:b/>
          <w:bCs/>
          <w:sz w:val="28"/>
          <w:szCs w:val="28"/>
        </w:rPr>
        <w:commentReference w:id="2"/>
      </w:r>
      <w:commentRangeEnd w:id="3"/>
      <w:r w:rsidRPr="084C6936">
        <w:rPr>
          <w:rStyle w:val="CommentReference"/>
          <w:rFonts w:ascii="Calibri Light" w:eastAsia="Calibri Light" w:hAnsi="Calibri Light" w:cs="Calibri Light"/>
          <w:b/>
          <w:bCs/>
          <w:sz w:val="28"/>
          <w:szCs w:val="28"/>
        </w:rPr>
        <w:commentReference w:id="3"/>
      </w:r>
      <w:r w:rsidRPr="084C6936">
        <w:rPr>
          <w:rFonts w:ascii="Calibri Light" w:eastAsia="Calibri Light" w:hAnsi="Calibri Light" w:cs="Calibri Light"/>
          <w:b/>
          <w:bCs/>
          <w:sz w:val="28"/>
          <w:szCs w:val="28"/>
        </w:rPr>
        <w:t xml:space="preserve"> </w:t>
      </w:r>
      <w:hyperlink r:id="rId14">
        <w:r w:rsidR="0DD3FC47" w:rsidRPr="084C6936">
          <w:rPr>
            <w:rStyle w:val="Hyperlink"/>
            <w:rFonts w:ascii="Calibri Light" w:eastAsia="Calibri Light" w:hAnsi="Calibri Light" w:cs="Calibri Light"/>
            <w:b/>
            <w:bCs/>
            <w:sz w:val="28"/>
            <w:szCs w:val="28"/>
          </w:rPr>
          <w:t xml:space="preserve">PDF EXAMPLE (not polished yet) </w:t>
        </w:r>
        <w:r w:rsidR="2853F8FB" w:rsidRPr="084C6936">
          <w:rPr>
            <w:rStyle w:val="Hyperlink"/>
            <w:rFonts w:ascii="Calibri Light" w:eastAsia="Calibri Light" w:hAnsi="Calibri Light" w:cs="Calibri Light"/>
            <w:b/>
            <w:bCs/>
            <w:sz w:val="28"/>
            <w:szCs w:val="28"/>
          </w:rPr>
          <w:t>from</w:t>
        </w:r>
        <w:r w:rsidR="0DD3FC47" w:rsidRPr="084C6936">
          <w:rPr>
            <w:rStyle w:val="Hyperlink"/>
            <w:rFonts w:ascii="Calibri Light" w:eastAsia="Calibri Light" w:hAnsi="Calibri Light" w:cs="Calibri Light"/>
            <w:b/>
            <w:bCs/>
            <w:sz w:val="28"/>
            <w:szCs w:val="28"/>
          </w:rPr>
          <w:t xml:space="preserve"> Coursedog</w:t>
        </w:r>
      </w:hyperlink>
    </w:p>
    <w:p w14:paraId="2452E229" w14:textId="446A3E6B" w:rsidR="00225E46" w:rsidRPr="00225E46" w:rsidRDefault="00225E46" w:rsidP="00225E46">
      <w:pPr>
        <w:spacing w:after="120"/>
        <w:jc w:val="center"/>
        <w:rPr>
          <w:rFonts w:ascii="Calibri Light" w:eastAsia="Calibri Light" w:hAnsi="Calibri Light" w:cs="Calibri Light"/>
          <w:b/>
          <w:bCs/>
          <w:sz w:val="28"/>
          <w:szCs w:val="28"/>
        </w:rPr>
      </w:pPr>
      <w:r w:rsidRPr="3FAC8073">
        <w:rPr>
          <w:rFonts w:ascii="Calibri Light" w:eastAsia="Calibri Light" w:hAnsi="Calibri Light" w:cs="Calibri Light"/>
          <w:b/>
          <w:bCs/>
          <w:sz w:val="28"/>
          <w:szCs w:val="28"/>
        </w:rPr>
        <w:t xml:space="preserve">Screenshots of </w:t>
      </w:r>
      <w:r w:rsidR="00912CB5" w:rsidRPr="3FAC8073">
        <w:rPr>
          <w:rFonts w:ascii="Calibri Light" w:eastAsia="Calibri Light" w:hAnsi="Calibri Light" w:cs="Calibri Light"/>
          <w:b/>
          <w:bCs/>
          <w:sz w:val="28"/>
          <w:szCs w:val="28"/>
        </w:rPr>
        <w:t>Syllabus Example</w:t>
      </w:r>
      <w:r w:rsidR="00B174C4" w:rsidRPr="3FAC8073">
        <w:rPr>
          <w:rFonts w:ascii="Calibri Light" w:eastAsia="Calibri Light" w:hAnsi="Calibri Light" w:cs="Calibri Light"/>
          <w:b/>
          <w:bCs/>
          <w:sz w:val="28"/>
          <w:szCs w:val="28"/>
        </w:rPr>
        <w:t xml:space="preserve"> from Coursedog in Canvas/Web </w:t>
      </w:r>
      <w:r w:rsidR="11A7D4D9" w:rsidRPr="3FAC8073">
        <w:rPr>
          <w:rFonts w:ascii="Calibri Light" w:eastAsia="Calibri Light" w:hAnsi="Calibri Light" w:cs="Calibri Light"/>
          <w:b/>
          <w:bCs/>
          <w:sz w:val="28"/>
          <w:szCs w:val="28"/>
        </w:rPr>
        <w:t>interface</w:t>
      </w:r>
      <w:r w:rsidR="00B174C4" w:rsidRPr="3FAC8073">
        <w:rPr>
          <w:rFonts w:ascii="Calibri Light" w:eastAsia="Calibri Light" w:hAnsi="Calibri Light" w:cs="Calibri Light"/>
          <w:b/>
          <w:bCs/>
          <w:sz w:val="28"/>
          <w:szCs w:val="28"/>
        </w:rPr>
        <w:t xml:space="preserve"> (coming soon)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70"/>
        <w:gridCol w:w="7290"/>
      </w:tblGrid>
      <w:tr w:rsidR="004304A7" w14:paraId="6484ED8B"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14:paraId="7CCB2B58" w14:textId="77777777" w:rsidR="00AF2361" w:rsidRDefault="005E2780">
            <w:r>
              <w:rPr>
                <w:rFonts w:ascii="Calibri Light" w:eastAsia="Calibri Light" w:hAnsi="Calibri Light" w:cs="Calibri Light"/>
                <w:b/>
                <w:bCs/>
                <w:color w:val="FFFFFF"/>
                <w:sz w:val="20"/>
                <w:szCs w:val="20"/>
              </w:rPr>
              <w:t>Policy Title</w:t>
            </w:r>
          </w:p>
        </w:tc>
        <w:tc>
          <w:tcPr>
            <w:tcW w:w="729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vAlign w:val="center"/>
          </w:tcPr>
          <w:p w14:paraId="194AC56F" w14:textId="77777777" w:rsidR="00AF2361" w:rsidRDefault="005E2780">
            <w:r>
              <w:rPr>
                <w:rFonts w:ascii="Calibri Light" w:eastAsia="Calibri Light" w:hAnsi="Calibri Light" w:cs="Calibri Light"/>
                <w:b/>
                <w:bCs/>
                <w:sz w:val="20"/>
                <w:szCs w:val="20"/>
              </w:rPr>
              <w:t>Syllabus Policy</w:t>
            </w:r>
          </w:p>
        </w:tc>
      </w:tr>
      <w:tr w:rsidR="00BB0649" w14:paraId="20E117DB"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5A99CC81" w14:textId="77777777" w:rsidR="00AF2361" w:rsidRDefault="005E2780">
            <w:r>
              <w:rPr>
                <w:b/>
                <w:bCs/>
                <w:sz w:val="20"/>
                <w:szCs w:val="20"/>
              </w:rPr>
              <w:t>Policy Number</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94756FD" w14:textId="6D89EDF8" w:rsidR="00AF2361" w:rsidRDefault="00DB6846">
            <w:pPr>
              <w:rPr>
                <w:sz w:val="20"/>
                <w:szCs w:val="20"/>
              </w:rPr>
            </w:pPr>
            <w:commentRangeStart w:id="4"/>
            <w:commentRangeStart w:id="5"/>
            <w:r>
              <w:rPr>
                <w:sz w:val="20"/>
                <w:szCs w:val="20"/>
              </w:rPr>
              <w:t xml:space="preserve">University Handbook, Section </w:t>
            </w:r>
            <w:r w:rsidR="52194A2B" w:rsidRPr="2D9B2F7F">
              <w:rPr>
                <w:sz w:val="20"/>
                <w:szCs w:val="20"/>
              </w:rPr>
              <w:t>F</w:t>
            </w:r>
            <w:r>
              <w:rPr>
                <w:sz w:val="20"/>
                <w:szCs w:val="20"/>
              </w:rPr>
              <w:t xml:space="preserve">, </w:t>
            </w:r>
            <w:r w:rsidR="00C4102F">
              <w:rPr>
                <w:sz w:val="20"/>
                <w:szCs w:val="20"/>
              </w:rPr>
              <w:t xml:space="preserve">25 - </w:t>
            </w:r>
            <w:commentRangeEnd w:id="4"/>
            <w:r w:rsidRPr="2D9B2F7F">
              <w:rPr>
                <w:rStyle w:val="CommentReference"/>
                <w:sz w:val="20"/>
                <w:szCs w:val="20"/>
              </w:rPr>
              <w:commentReference w:id="4"/>
            </w:r>
            <w:commentRangeEnd w:id="5"/>
            <w:r w:rsidRPr="2D9B2F7F">
              <w:rPr>
                <w:rStyle w:val="CommentReference"/>
                <w:sz w:val="20"/>
                <w:szCs w:val="20"/>
              </w:rPr>
              <w:commentReference w:id="5"/>
            </w:r>
            <w:r w:rsidR="7C9F09A6" w:rsidRPr="2D9B2F7F">
              <w:rPr>
                <w:sz w:val="20"/>
                <w:szCs w:val="20"/>
              </w:rPr>
              <w:t>26</w:t>
            </w:r>
          </w:p>
        </w:tc>
      </w:tr>
      <w:tr w:rsidR="00BB0649" w14:paraId="0220B02C"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765CEE45" w14:textId="77777777" w:rsidR="00AF2361" w:rsidRDefault="005E2780">
            <w:r>
              <w:rPr>
                <w:b/>
                <w:bCs/>
                <w:sz w:val="20"/>
                <w:szCs w:val="20"/>
              </w:rPr>
              <w:t>Effective Date</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E013B63" w14:textId="49900937" w:rsidR="001B751C" w:rsidRDefault="001B751C">
            <w:r>
              <w:t>April 1, 2026 (first draft)</w:t>
            </w:r>
          </w:p>
          <w:p w14:paraId="662DB25E" w14:textId="052D1813" w:rsidR="00AF2361" w:rsidRDefault="001B751C">
            <w:r>
              <w:t>&lt;pending approval, but asap&gt;</w:t>
            </w:r>
          </w:p>
        </w:tc>
      </w:tr>
      <w:tr w:rsidR="00BB0649" w14:paraId="70E1B890"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3B132A4D" w14:textId="77777777" w:rsidR="00AF2361" w:rsidRDefault="005E2780">
            <w:r>
              <w:rPr>
                <w:b/>
                <w:bCs/>
                <w:sz w:val="20"/>
                <w:szCs w:val="20"/>
              </w:rPr>
              <w:t>Responsible Office</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94AAD28" w14:textId="03544C12" w:rsidR="00AF2361" w:rsidRDefault="005E2780">
            <w:r>
              <w:rPr>
                <w:sz w:val="20"/>
                <w:szCs w:val="20"/>
              </w:rPr>
              <w:t xml:space="preserve">Office of the Provost </w:t>
            </w:r>
            <w:r w:rsidR="001B751C">
              <w:rPr>
                <w:sz w:val="20"/>
                <w:szCs w:val="20"/>
              </w:rPr>
              <w:t>with Faculty Senate</w:t>
            </w:r>
          </w:p>
        </w:tc>
      </w:tr>
      <w:tr w:rsidR="00BB0649" w14:paraId="7321CF24"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4AC9122D" w14:textId="459AD54D" w:rsidR="001B751C" w:rsidRDefault="001B751C" w:rsidP="001B751C">
            <w:pPr>
              <w:jc w:val="right"/>
              <w:rPr>
                <w:b/>
                <w:bCs/>
                <w:sz w:val="20"/>
                <w:szCs w:val="20"/>
              </w:rPr>
            </w:pPr>
            <w:r>
              <w:rPr>
                <w:b/>
                <w:bCs/>
                <w:sz w:val="20"/>
                <w:szCs w:val="20"/>
              </w:rPr>
              <w:t>Applies to</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ECB2A48" w14:textId="6A556887" w:rsidR="001B751C" w:rsidRDefault="001B751C" w:rsidP="001251B9">
            <w:pPr>
              <w:rPr>
                <w:sz w:val="20"/>
                <w:szCs w:val="20"/>
              </w:rPr>
            </w:pPr>
            <w:r>
              <w:rPr>
                <w:sz w:val="20"/>
                <w:szCs w:val="20"/>
              </w:rPr>
              <w:t>All credit-bearing courses taught at Kansas State University</w:t>
            </w:r>
          </w:p>
        </w:tc>
      </w:tr>
      <w:tr w:rsidR="00BB0649" w14:paraId="561BC5CC"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730C80C5" w14:textId="3ED0BD88" w:rsidR="001B751C" w:rsidRDefault="001B751C" w:rsidP="001B751C">
            <w:pPr>
              <w:jc w:val="right"/>
              <w:rPr>
                <w:b/>
                <w:bCs/>
                <w:sz w:val="20"/>
                <w:szCs w:val="20"/>
              </w:rPr>
            </w:pPr>
            <w:r>
              <w:rPr>
                <w:b/>
                <w:bCs/>
                <w:sz w:val="20"/>
                <w:szCs w:val="20"/>
              </w:rPr>
              <w:t>Policy Supremacy</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FA0809F" w14:textId="77777777" w:rsidR="001B751C" w:rsidRPr="0010151E" w:rsidRDefault="001B751C" w:rsidP="004617C8">
            <w:pPr>
              <w:tabs>
                <w:tab w:val="left" w:pos="4190"/>
              </w:tabs>
              <w:rPr>
                <w:rFonts w:asciiTheme="majorHAnsi" w:hAnsiTheme="majorHAnsi" w:cstheme="majorHAnsi"/>
              </w:rPr>
            </w:pPr>
            <w:r w:rsidRPr="0010151E">
              <w:rPr>
                <w:rFonts w:asciiTheme="majorHAnsi" w:hAnsiTheme="majorHAnsi" w:cstheme="majorHAnsi"/>
              </w:rPr>
              <w:t>This policy supersedes any and all previous academic policies, guidelines, procedures, or practices that are inconsistent with its provisions.</w:t>
            </w:r>
          </w:p>
          <w:p w14:paraId="7B7338E9" w14:textId="0511859C" w:rsidR="001B751C" w:rsidRPr="0010151E" w:rsidRDefault="001B751C" w:rsidP="004617C8">
            <w:pPr>
              <w:tabs>
                <w:tab w:val="left" w:pos="4190"/>
              </w:tabs>
              <w:rPr>
                <w:rFonts w:asciiTheme="majorHAnsi" w:hAnsiTheme="majorHAnsi" w:cstheme="majorBidi"/>
              </w:rPr>
            </w:pPr>
            <w:r w:rsidRPr="063FD668">
              <w:rPr>
                <w:rFonts w:asciiTheme="majorHAnsi" w:hAnsiTheme="majorHAnsi" w:cstheme="majorBidi"/>
              </w:rPr>
              <w:t>In the event of a conflict between this policy and any earlier policy or unit</w:t>
            </w:r>
            <w:r w:rsidR="4936F60B" w:rsidRPr="063FD668">
              <w:rPr>
                <w:rFonts w:asciiTheme="majorHAnsi" w:hAnsiTheme="majorHAnsi" w:cstheme="majorBidi"/>
              </w:rPr>
              <w:t xml:space="preserve"> </w:t>
            </w:r>
            <w:r w:rsidRPr="063FD668">
              <w:rPr>
                <w:rFonts w:asciiTheme="majorHAnsi" w:hAnsiTheme="majorHAnsi" w:cstheme="majorBidi"/>
              </w:rPr>
              <w:t>level guidance, the provisions of this policy shall govern.</w:t>
            </w:r>
          </w:p>
          <w:p w14:paraId="41B4F4AF" w14:textId="0E5B4B18" w:rsidR="001B751C" w:rsidRPr="003E10A5" w:rsidRDefault="001B751C" w:rsidP="003E10A5">
            <w:pPr>
              <w:pStyle w:val="ListParagraph"/>
              <w:rPr>
                <w:rFonts w:asciiTheme="majorHAnsi" w:hAnsiTheme="majorHAnsi" w:cstheme="majorHAnsi"/>
                <w:sz w:val="20"/>
                <w:szCs w:val="20"/>
              </w:rPr>
            </w:pPr>
            <w:r w:rsidRPr="003E10A5">
              <w:rPr>
                <w:rFonts w:asciiTheme="majorHAnsi" w:hAnsiTheme="majorHAnsi" w:cstheme="majorHAnsi"/>
              </w:rPr>
              <w:t>Units may not adopt or enforce policies or practices that contradict this policy unless explicitly authorized in writing by the Provost.</w:t>
            </w:r>
          </w:p>
        </w:tc>
      </w:tr>
      <w:tr w:rsidR="00BB0649" w14:paraId="512E4CBD"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7F766A96" w14:textId="652DCDAB" w:rsidR="001B751C" w:rsidRDefault="001B751C" w:rsidP="001B751C">
            <w:pPr>
              <w:rPr>
                <w:b/>
                <w:bCs/>
                <w:sz w:val="20"/>
                <w:szCs w:val="20"/>
              </w:rPr>
            </w:pPr>
            <w:r>
              <w:rPr>
                <w:b/>
                <w:bCs/>
                <w:sz w:val="20"/>
                <w:szCs w:val="20"/>
              </w:rPr>
              <w:t>Policy Type</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937F4FC" w14:textId="77777777" w:rsidR="001B751C" w:rsidRPr="0010151E" w:rsidRDefault="001B751C" w:rsidP="001B751C">
            <w:pPr>
              <w:tabs>
                <w:tab w:val="left" w:pos="4190"/>
              </w:tabs>
              <w:rPr>
                <w:rFonts w:asciiTheme="majorHAnsi" w:hAnsiTheme="majorHAnsi" w:cstheme="majorHAnsi"/>
              </w:rPr>
            </w:pPr>
            <w:r w:rsidRPr="0010151E">
              <w:rPr>
                <w:rFonts w:asciiTheme="majorHAnsi" w:hAnsiTheme="majorHAnsi" w:cstheme="majorHAnsi"/>
              </w:rPr>
              <w:t xml:space="preserve">This chapter is classified as an </w:t>
            </w:r>
            <w:r w:rsidRPr="0010151E">
              <w:rPr>
                <w:rFonts w:asciiTheme="majorHAnsi" w:hAnsiTheme="majorHAnsi" w:cstheme="majorHAnsi"/>
                <w:b/>
                <w:bCs/>
                <w:i/>
                <w:iCs/>
              </w:rPr>
              <w:t>Academic Policy</w:t>
            </w:r>
            <w:r w:rsidRPr="0010151E">
              <w:rPr>
                <w:rFonts w:asciiTheme="majorHAnsi" w:hAnsiTheme="majorHAnsi" w:cstheme="majorHAnsi"/>
              </w:rPr>
              <w:t>.</w:t>
            </w:r>
          </w:p>
          <w:p w14:paraId="62BE358C" w14:textId="77777777" w:rsidR="001B751C" w:rsidRPr="0010151E" w:rsidRDefault="001B751C" w:rsidP="001B751C">
            <w:pPr>
              <w:tabs>
                <w:tab w:val="left" w:pos="4190"/>
              </w:tabs>
              <w:rPr>
                <w:rFonts w:asciiTheme="majorHAnsi" w:hAnsiTheme="majorHAnsi" w:cstheme="majorHAnsi"/>
              </w:rPr>
            </w:pPr>
            <w:r w:rsidRPr="0010151E">
              <w:rPr>
                <w:rFonts w:asciiTheme="majorHAnsi" w:hAnsiTheme="majorHAnsi" w:cstheme="majorHAnsi"/>
              </w:rPr>
              <w:t> </w:t>
            </w:r>
          </w:p>
          <w:p w14:paraId="36191912" w14:textId="77777777" w:rsidR="001B751C" w:rsidRPr="0010151E" w:rsidRDefault="001B751C" w:rsidP="001B751C">
            <w:pPr>
              <w:tabs>
                <w:tab w:val="left" w:pos="4190"/>
              </w:tabs>
              <w:rPr>
                <w:rFonts w:asciiTheme="majorHAnsi" w:hAnsiTheme="majorHAnsi" w:cstheme="majorHAnsi"/>
              </w:rPr>
            </w:pPr>
            <w:r w:rsidRPr="0010151E">
              <w:rPr>
                <w:rFonts w:asciiTheme="majorHAnsi" w:hAnsiTheme="majorHAnsi" w:cstheme="majorHAnsi"/>
              </w:rPr>
              <w:t>This policy falls under the purview of shared academic governance. The following requirements apply to all future amendments:</w:t>
            </w:r>
          </w:p>
          <w:p w14:paraId="7BE39FE0" w14:textId="77777777" w:rsidR="001B751C" w:rsidRPr="0010151E" w:rsidRDefault="731CF0CD" w:rsidP="6C8C9345">
            <w:pPr>
              <w:pStyle w:val="ListParagraph"/>
              <w:numPr>
                <w:ilvl w:val="0"/>
                <w:numId w:val="3"/>
              </w:numPr>
              <w:tabs>
                <w:tab w:val="left" w:pos="4190"/>
              </w:tabs>
              <w:contextualSpacing/>
              <w:rPr>
                <w:rFonts w:asciiTheme="majorHAnsi" w:hAnsiTheme="majorHAnsi" w:cstheme="majorBidi"/>
              </w:rPr>
            </w:pPr>
            <w:r w:rsidRPr="6C8C9345">
              <w:rPr>
                <w:rFonts w:asciiTheme="majorHAnsi" w:hAnsiTheme="majorHAnsi" w:cstheme="majorBidi"/>
              </w:rPr>
              <w:t>Faculty Senate Review Required: Any amendment, revision, or deletion of this chapter must be reviewed through the Faculty Senate governance structure.</w:t>
            </w:r>
          </w:p>
          <w:p w14:paraId="66795A7F" w14:textId="77777777" w:rsidR="001B751C" w:rsidRPr="0010151E" w:rsidRDefault="001B751C" w:rsidP="001B751C">
            <w:pPr>
              <w:pStyle w:val="ListParagraph"/>
              <w:numPr>
                <w:ilvl w:val="0"/>
                <w:numId w:val="3"/>
              </w:numPr>
              <w:tabs>
                <w:tab w:val="left" w:pos="4190"/>
              </w:tabs>
              <w:contextualSpacing/>
              <w:rPr>
                <w:rFonts w:asciiTheme="majorHAnsi" w:hAnsiTheme="majorHAnsi" w:cstheme="majorHAnsi"/>
              </w:rPr>
            </w:pPr>
            <w:r w:rsidRPr="0010151E">
              <w:rPr>
                <w:rFonts w:asciiTheme="majorHAnsi" w:hAnsiTheme="majorHAnsi" w:cstheme="majorHAnsi"/>
              </w:rPr>
              <w:t>Compliance Review Required: All proposed changes must undergo review by the Office of Provost and Office of General Counsel to ensure alignment with KBOR policy, federal/state law, accreditation requirements, and university policy development protocols.</w:t>
            </w:r>
          </w:p>
          <w:p w14:paraId="58919938" w14:textId="77777777" w:rsidR="001B751C" w:rsidRPr="0010151E" w:rsidRDefault="001B751C" w:rsidP="001B751C">
            <w:pPr>
              <w:pStyle w:val="ListParagraph"/>
              <w:numPr>
                <w:ilvl w:val="0"/>
                <w:numId w:val="3"/>
              </w:numPr>
              <w:tabs>
                <w:tab w:val="left" w:pos="4190"/>
              </w:tabs>
              <w:contextualSpacing/>
              <w:rPr>
                <w:rFonts w:asciiTheme="majorHAnsi" w:hAnsiTheme="majorHAnsi" w:cstheme="majorHAnsi"/>
              </w:rPr>
            </w:pPr>
            <w:r w:rsidRPr="0010151E">
              <w:rPr>
                <w:rFonts w:asciiTheme="majorHAnsi" w:hAnsiTheme="majorHAnsi" w:cstheme="majorHAnsi"/>
              </w:rPr>
              <w:t>Provost Approval Required: Final approval authority for publication or revision of this chapter rests with the Provost.</w:t>
            </w:r>
          </w:p>
          <w:p w14:paraId="64AFE670" w14:textId="77777777" w:rsidR="001B751C" w:rsidRPr="0010151E" w:rsidRDefault="001B751C" w:rsidP="001B751C">
            <w:pPr>
              <w:tabs>
                <w:tab w:val="left" w:pos="4190"/>
              </w:tabs>
              <w:rPr>
                <w:rFonts w:asciiTheme="majorHAnsi" w:hAnsiTheme="majorHAnsi" w:cstheme="majorHAnsi"/>
              </w:rPr>
            </w:pPr>
            <w:r w:rsidRPr="0010151E">
              <w:rPr>
                <w:rFonts w:asciiTheme="majorHAnsi" w:hAnsiTheme="majorHAnsi" w:cstheme="majorHAnsi"/>
              </w:rPr>
              <w:t>No revisions to this chapter may be made without Faculty Senate review, compliance verification, and Provost approval.</w:t>
            </w:r>
          </w:p>
          <w:p w14:paraId="7CE3FB58" w14:textId="4B284282" w:rsidR="001B751C" w:rsidRDefault="001B751C" w:rsidP="001B751C">
            <w:pPr>
              <w:rPr>
                <w:sz w:val="20"/>
                <w:szCs w:val="20"/>
              </w:rPr>
            </w:pPr>
            <w:r w:rsidRPr="0010151E">
              <w:rPr>
                <w:rFonts w:asciiTheme="majorHAnsi" w:hAnsiTheme="majorHAnsi" w:cstheme="majorHAnsi"/>
                <w:i/>
                <w:iCs/>
              </w:rPr>
              <w:t>Note: this provision does not supersede the sunset clause.</w:t>
            </w:r>
          </w:p>
        </w:tc>
      </w:tr>
      <w:tr w:rsidR="00BB0649" w14:paraId="0DCCF1C2"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7979BAFD" w14:textId="4179A45C" w:rsidR="001B751C" w:rsidRDefault="001B751C" w:rsidP="001B751C">
            <w:pPr>
              <w:rPr>
                <w:b/>
                <w:bCs/>
                <w:sz w:val="20"/>
                <w:szCs w:val="20"/>
              </w:rPr>
            </w:pPr>
            <w:r>
              <w:rPr>
                <w:b/>
                <w:bCs/>
                <w:sz w:val="20"/>
                <w:szCs w:val="20"/>
              </w:rPr>
              <w:t>Review Cycle</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7D331EE" w14:textId="77777777" w:rsidR="001B751C" w:rsidRPr="0010151E" w:rsidRDefault="001B751C" w:rsidP="001B751C">
            <w:pPr>
              <w:tabs>
                <w:tab w:val="left" w:pos="4190"/>
              </w:tabs>
              <w:rPr>
                <w:rFonts w:asciiTheme="majorHAnsi" w:hAnsiTheme="majorHAnsi" w:cstheme="majorHAnsi"/>
              </w:rPr>
            </w:pPr>
            <w:r w:rsidRPr="0010151E">
              <w:rPr>
                <w:rFonts w:asciiTheme="majorHAnsi" w:hAnsiTheme="majorHAnsi" w:cstheme="majorHAnsi"/>
              </w:rPr>
              <w:t>This policy shall remain in effect for a period of two (2) years from its effective date. At the conclusion of this period, the policy will automatically expire unless it is formally reviewed and affirmed before the anniversary date.</w:t>
            </w:r>
          </w:p>
          <w:p w14:paraId="1C2F3E58" w14:textId="77777777" w:rsidR="001B751C" w:rsidRPr="0010151E" w:rsidRDefault="001B751C" w:rsidP="001B751C">
            <w:pPr>
              <w:tabs>
                <w:tab w:val="left" w:pos="4190"/>
              </w:tabs>
              <w:rPr>
                <w:rFonts w:asciiTheme="majorHAnsi" w:hAnsiTheme="majorHAnsi" w:cstheme="majorHAnsi"/>
              </w:rPr>
            </w:pPr>
            <w:r w:rsidRPr="0010151E">
              <w:rPr>
                <w:rFonts w:asciiTheme="majorHAnsi" w:hAnsiTheme="majorHAnsi" w:cstheme="majorHAnsi"/>
              </w:rPr>
              <w:t>Renewal of this policy requires:</w:t>
            </w:r>
          </w:p>
          <w:p w14:paraId="5B77895D" w14:textId="77777777" w:rsidR="001B751C" w:rsidRPr="0010151E" w:rsidRDefault="001B751C" w:rsidP="001B751C">
            <w:pPr>
              <w:numPr>
                <w:ilvl w:val="0"/>
                <w:numId w:val="4"/>
              </w:numPr>
              <w:tabs>
                <w:tab w:val="left" w:pos="4190"/>
              </w:tabs>
              <w:rPr>
                <w:rFonts w:asciiTheme="majorHAnsi" w:hAnsiTheme="majorHAnsi" w:cstheme="majorHAnsi"/>
              </w:rPr>
            </w:pPr>
            <w:r w:rsidRPr="0010151E">
              <w:rPr>
                <w:rFonts w:asciiTheme="majorHAnsi" w:hAnsiTheme="majorHAnsi" w:cstheme="majorHAnsi"/>
              </w:rPr>
              <w:t>Review and endorsement by the Faculty Senate, and</w:t>
            </w:r>
          </w:p>
          <w:p w14:paraId="13DD94FF" w14:textId="77777777" w:rsidR="001B751C" w:rsidRPr="0010151E" w:rsidRDefault="001B751C" w:rsidP="001B751C">
            <w:pPr>
              <w:numPr>
                <w:ilvl w:val="0"/>
                <w:numId w:val="4"/>
              </w:numPr>
              <w:tabs>
                <w:tab w:val="left" w:pos="4190"/>
              </w:tabs>
              <w:rPr>
                <w:rFonts w:asciiTheme="majorHAnsi" w:hAnsiTheme="majorHAnsi" w:cstheme="majorHAnsi"/>
              </w:rPr>
            </w:pPr>
            <w:r w:rsidRPr="0010151E">
              <w:rPr>
                <w:rFonts w:asciiTheme="majorHAnsi" w:hAnsiTheme="majorHAnsi" w:cstheme="majorHAnsi"/>
              </w:rPr>
              <w:t>Review and approval by the designated policy owner.</w:t>
            </w:r>
          </w:p>
          <w:p w14:paraId="4E076C27" w14:textId="36A9B6CE" w:rsidR="001B751C" w:rsidRDefault="001B751C" w:rsidP="001B751C">
            <w:pPr>
              <w:rPr>
                <w:sz w:val="20"/>
                <w:szCs w:val="20"/>
              </w:rPr>
            </w:pPr>
            <w:r w:rsidRPr="0010151E">
              <w:rPr>
                <w:rFonts w:asciiTheme="majorHAnsi" w:hAnsiTheme="majorHAnsi" w:cstheme="majorHAnsi"/>
              </w:rPr>
              <w:lastRenderedPageBreak/>
              <w:t>If the required review and endorsements are not completed prior to the expiration date, the policy shall lapse and no longer be in effect. A lapsed policy may be reissued only through the standard policy approval process.</w:t>
            </w:r>
          </w:p>
        </w:tc>
      </w:tr>
      <w:tr w:rsidR="00BB0649" w14:paraId="0A8B0ABD"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02A127F9" w14:textId="2E10DE5B" w:rsidR="001B751C" w:rsidRDefault="001B751C" w:rsidP="001B751C">
            <w:pPr>
              <w:rPr>
                <w:b/>
                <w:bCs/>
                <w:sz w:val="20"/>
                <w:szCs w:val="20"/>
              </w:rPr>
            </w:pPr>
            <w:r>
              <w:rPr>
                <w:b/>
                <w:bCs/>
                <w:sz w:val="20"/>
                <w:szCs w:val="20"/>
              </w:rPr>
              <w:lastRenderedPageBreak/>
              <w:t>Last Review</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B87245D" w14:textId="524AA8B3" w:rsidR="001B751C" w:rsidRPr="0010151E" w:rsidRDefault="001B751C" w:rsidP="001B751C">
            <w:pPr>
              <w:rPr>
                <w:rFonts w:asciiTheme="majorHAnsi" w:hAnsiTheme="majorHAnsi" w:cstheme="majorHAnsi"/>
              </w:rPr>
            </w:pPr>
            <w:r>
              <w:rPr>
                <w:rFonts w:asciiTheme="majorHAnsi" w:hAnsiTheme="majorHAnsi" w:cstheme="majorHAnsi"/>
              </w:rPr>
              <w:t>&lt;insert date of approval&gt;</w:t>
            </w:r>
          </w:p>
        </w:tc>
      </w:tr>
      <w:tr w:rsidR="00BB0649" w14:paraId="3F12FDEC"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1E724EC5" w14:textId="77777777" w:rsidR="001B751C" w:rsidRDefault="001B751C" w:rsidP="001B751C">
            <w:r>
              <w:rPr>
                <w:b/>
                <w:bCs/>
                <w:sz w:val="20"/>
                <w:szCs w:val="20"/>
              </w:rPr>
              <w:t>Related Policies</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244A8F8" w14:textId="1BBBBB6E" w:rsidR="001B751C" w:rsidRDefault="001B751C" w:rsidP="001B751C">
            <w:r w:rsidRPr="0010151E">
              <w:rPr>
                <w:rFonts w:asciiTheme="majorHAnsi" w:hAnsiTheme="majorHAnsi" w:cstheme="majorHAnsi"/>
              </w:rPr>
              <w:t xml:space="preserve">April 3, </w:t>
            </w:r>
            <w:r w:rsidR="003E10A5" w:rsidRPr="0010151E">
              <w:rPr>
                <w:rFonts w:asciiTheme="majorHAnsi" w:hAnsiTheme="majorHAnsi" w:cstheme="majorHAnsi"/>
              </w:rPr>
              <w:t>2026,</w:t>
            </w:r>
            <w:r w:rsidRPr="0010151E">
              <w:rPr>
                <w:rFonts w:asciiTheme="majorHAnsi" w:hAnsiTheme="majorHAnsi" w:cstheme="majorHAnsi"/>
              </w:rPr>
              <w:t xml:space="preserve"> &lt;insert date of approval&gt;</w:t>
            </w:r>
          </w:p>
        </w:tc>
      </w:tr>
      <w:tr w:rsidR="00BB0649" w14:paraId="34424AAE" w14:textId="77777777" w:rsidTr="6C8C9345">
        <w:tc>
          <w:tcPr>
            <w:tcW w:w="207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tcPr>
          <w:p w14:paraId="12EEA284" w14:textId="347DA8E1" w:rsidR="001B751C" w:rsidRDefault="001B751C" w:rsidP="001B751C">
            <w:pPr>
              <w:rPr>
                <w:b/>
                <w:bCs/>
                <w:sz w:val="20"/>
                <w:szCs w:val="20"/>
              </w:rPr>
            </w:pPr>
            <w:r>
              <w:rPr>
                <w:b/>
                <w:bCs/>
                <w:sz w:val="20"/>
                <w:szCs w:val="20"/>
              </w:rPr>
              <w:t>Accreditation &amp; Regulatory Compliance Note</w:t>
            </w:r>
          </w:p>
        </w:tc>
        <w:tc>
          <w:tcPr>
            <w:tcW w:w="729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DD6A42" w14:textId="7B3F7155" w:rsidR="001B751C" w:rsidRPr="0010151E" w:rsidRDefault="00726A01" w:rsidP="001B751C">
            <w:pPr>
              <w:rPr>
                <w:rFonts w:asciiTheme="majorHAnsi" w:hAnsiTheme="majorHAnsi" w:cstheme="majorBidi"/>
              </w:rPr>
            </w:pPr>
            <w:r>
              <w:t xml:space="preserve">This policy has been developed to satisfy requirements of the Higher Learning Commission (HLC) Assumed Practice C.5 and Criteria for Accreditation (Criteria 3 and 4); the federal credit hour definition at 34 CFR § 600.2; Title IV student financial aid consumer disclosure requirements at 34 CFR Part 668, Subpart D; the Kansas Board of Regents (KBOR) Policy Manual, including system-wide transfer course and program quality provisions; the Kansas Open Records Act (KORA), K.S.A. 45-215 et seq.; </w:t>
            </w:r>
            <w:r w:rsidR="00F8264A">
              <w:t xml:space="preserve">K-State Records Retention Schedule </w:t>
            </w:r>
            <w:r w:rsidR="000C35B9">
              <w:t xml:space="preserve">0624-367; </w:t>
            </w:r>
            <w:r>
              <w:t>and the U.S. Department of Justice ADA Title II Final Rule requiring conformance with Web Content Accessibility Guidelines (WCAG) 2.1 Level AA, effective April 24, 202</w:t>
            </w:r>
            <w:r w:rsidR="00D03CF0">
              <w:t>7</w:t>
            </w:r>
            <w:r>
              <w:t>. All instructors and academic administrators responsible for preparing, reviewing, or overseeing course syllabi are expected to be familiar with this policy and its underlying regulatory basis.</w:t>
            </w:r>
          </w:p>
        </w:tc>
      </w:tr>
    </w:tbl>
    <w:p w14:paraId="56A419AE" w14:textId="77777777" w:rsidR="00AF2361" w:rsidRDefault="00AF2361">
      <w:pPr>
        <w:spacing w:after="60"/>
      </w:pPr>
    </w:p>
    <w:p w14:paraId="13CA3615" w14:textId="1DB270FE" w:rsidR="00AF2361" w:rsidRDefault="3D910DCC" w:rsidP="00095CAB">
      <w:pPr>
        <w:pStyle w:val="Heading1"/>
      </w:pPr>
      <w:r>
        <w:t xml:space="preserve">Section F.25 - 26: </w:t>
      </w:r>
      <w:r w:rsidR="00992DE3">
        <w:t>Course Syllabus Policy</w:t>
      </w:r>
    </w:p>
    <w:p w14:paraId="4F897A67" w14:textId="77231059" w:rsidR="00AF2361" w:rsidRDefault="00992DE3">
      <w:pPr>
        <w:pStyle w:val="Heading2"/>
      </w:pPr>
      <w:bookmarkStart w:id="6" w:name="_Toc226371363"/>
      <w:r>
        <w:t>25.1</w:t>
      </w:r>
      <w:r w:rsidR="005E2780">
        <w:t xml:space="preserve"> Purpose and Scope</w:t>
      </w:r>
      <w:bookmarkEnd w:id="6"/>
    </w:p>
    <w:p w14:paraId="682992CA" w14:textId="70E41D25" w:rsidR="00AF2361" w:rsidRDefault="00F7293F">
      <w:pPr>
        <w:spacing w:after="120"/>
      </w:pPr>
      <w:r>
        <w:t>Kansas State University, as a next-generation land-grant university</w:t>
      </w:r>
      <w:r w:rsidR="00494177">
        <w:t xml:space="preserve"> committed to inspiring learning, creativity, discovery, and engagement that positively impacts society and transforms lives, recognizes the course syllabus as a </w:t>
      </w:r>
      <w:r w:rsidR="008B1E30">
        <w:t xml:space="preserve">foundational teaching document. The syllabus communicates course content, expectations, grading standards, and key policies to students and provides a clear understanding of course structure while recognizing that effective instruction may reasonably evolve throughout the semester </w:t>
      </w:r>
      <w:r w:rsidR="00667D4E">
        <w:t xml:space="preserve">to meet student learning needs, respond to emerging scholarship, or reflect </w:t>
      </w:r>
      <w:r w:rsidR="008D2014">
        <w:t xml:space="preserve">pedagogical best practices. </w:t>
      </w:r>
    </w:p>
    <w:p w14:paraId="1DF13344" w14:textId="526B29A6" w:rsidR="00AF2361" w:rsidRDefault="005E2780">
      <w:pPr>
        <w:spacing w:after="120"/>
      </w:pPr>
      <w:r>
        <w:t xml:space="preserve">This policy establishes the </w:t>
      </w:r>
      <w:r w:rsidR="00800327">
        <w:t xml:space="preserve">minimum </w:t>
      </w:r>
      <w:r>
        <w:t xml:space="preserve">requirements for all credit-bearing course syllabi at Kansas State University and fulfills obligations under the Higher Learning Commission (HLC) Assumed Practices (Part C) and Criteria for Accreditation (Criteria 3 and 4), federal regulations governing credit hours (34 CFR § 600.2) and student financial aid (34 CFR Part 668), Kansas Board of Regents </w:t>
      </w:r>
      <w:r w:rsidR="009832C5">
        <w:t>Policy Manual</w:t>
      </w:r>
      <w:r>
        <w:t xml:space="preserve">, and the </w:t>
      </w:r>
      <w:r w:rsidR="00E45CDB">
        <w:t>university’s generally applicable digital accessibility standards (</w:t>
      </w:r>
      <w:r w:rsidR="003B723E">
        <w:t>i.e.,</w:t>
      </w:r>
      <w:r w:rsidR="00E45CDB">
        <w:t xml:space="preserve"> </w:t>
      </w:r>
      <w:r>
        <w:t>U.S. Department of Justice ADA Title II Final Rule requiring conformance with Web Content Accessibility Guidelines (WCAG) 2.1 Level AA, effective April 24, 202</w:t>
      </w:r>
      <w:r w:rsidR="00743FDC">
        <w:t>7</w:t>
      </w:r>
      <w:r w:rsidR="00E45CDB">
        <w:t xml:space="preserve">). </w:t>
      </w:r>
    </w:p>
    <w:p w14:paraId="4948700D" w14:textId="07B3F202" w:rsidR="00AF2361" w:rsidRDefault="000015B6" w:rsidP="00752CFF">
      <w:pPr>
        <w:spacing w:after="120"/>
      </w:pPr>
      <w:r>
        <w:t xml:space="preserve">Nothing </w:t>
      </w:r>
      <w:r w:rsidR="004C6B80">
        <w:t>in this policy shall be interpreted</w:t>
      </w:r>
      <w:r w:rsidR="006124C1">
        <w:t xml:space="preserve"> to require uniform pedagogical practices, identical course structures across instructors, or unnece</w:t>
      </w:r>
      <w:r w:rsidR="00387D5F">
        <w:t xml:space="preserve">ssary restriction of instructor discretion </w:t>
      </w:r>
      <w:r w:rsidR="00DB6F9A">
        <w:t>in course design and delivery. K-State recognizes that effective teaching may require instructors to adapt course content, pacing, readings, assignments, and assessment methods in response to student learning need</w:t>
      </w:r>
      <w:r w:rsidR="00F913A1">
        <w:t xml:space="preserve">s, emerging scholarship, current events, or pedagogical best practices, and this policy shall be construed to support </w:t>
      </w:r>
      <w:r w:rsidR="003B723E">
        <w:t>rather than constrain that professional discretion.</w:t>
      </w:r>
    </w:p>
    <w:p w14:paraId="7AFF6CF9" w14:textId="5AA55805" w:rsidR="00AF2361" w:rsidRDefault="00992DE3">
      <w:pPr>
        <w:pStyle w:val="Heading2"/>
      </w:pPr>
      <w:bookmarkStart w:id="7" w:name="_Toc226371364"/>
      <w:r>
        <w:t>25.2</w:t>
      </w:r>
      <w:r w:rsidR="005E2780">
        <w:t xml:space="preserve"> Definitions</w:t>
      </w:r>
      <w:bookmarkEnd w:id="7"/>
    </w:p>
    <w:p w14:paraId="34048CE3" w14:textId="651776BD" w:rsidR="00AF2361" w:rsidRDefault="0429082F">
      <w:pPr>
        <w:spacing w:after="120"/>
      </w:pPr>
      <w:r w:rsidRPr="11101E30">
        <w:rPr>
          <w:b/>
          <w:bCs/>
        </w:rPr>
        <w:lastRenderedPageBreak/>
        <w:t>Coursedog</w:t>
      </w:r>
      <w:r>
        <w:t xml:space="preserve"> – The official university platform designated as the electronic syllabus repository for Kansas State University, effective Summer 2026. Syllabi submitted through Coursedog are automatically linked to the university’s retention and records management schedule.</w:t>
      </w:r>
    </w:p>
    <w:p w14:paraId="2D9DA0AE" w14:textId="2FA13553" w:rsidR="00AF2361" w:rsidRDefault="005E2780">
      <w:pPr>
        <w:spacing w:after="120"/>
      </w:pPr>
      <w:r>
        <w:rPr>
          <w:b/>
          <w:bCs/>
        </w:rPr>
        <w:t>Credit Hour</w:t>
      </w:r>
      <w:r>
        <w:t xml:space="preserve"> – An amount of student work that reflects the federal definition set forth at </w:t>
      </w:r>
      <w:hyperlink r:id="rId15" w:history="1">
        <w:r w:rsidRPr="00CB7B91">
          <w:rPr>
            <w:rStyle w:val="Hyperlink"/>
          </w:rPr>
          <w:t>34 CFR § 600.2</w:t>
        </w:r>
      </w:hyperlink>
      <w:r>
        <w:t>: a minimum of one hour of classroom or direct faculty instruction and a minimum of two hours of out-of-class student work per week for approximately fifteen weeks per semester, or the equivalent amount of work over a different amount of time.</w:t>
      </w:r>
    </w:p>
    <w:p w14:paraId="132A003E" w14:textId="77777777" w:rsidR="00AF2361" w:rsidRDefault="005E2780">
      <w:pPr>
        <w:spacing w:after="120"/>
      </w:pPr>
      <w:r>
        <w:rPr>
          <w:b/>
          <w:bCs/>
        </w:rPr>
        <w:t>HLC</w:t>
      </w:r>
      <w:r>
        <w:t xml:space="preserve"> – Higher Learning Commission, the regional accrediting body for Kansas State University.</w:t>
      </w:r>
    </w:p>
    <w:p w14:paraId="4D57F382" w14:textId="77777777" w:rsidR="00AF2361" w:rsidRDefault="005E2780">
      <w:pPr>
        <w:spacing w:after="120"/>
      </w:pPr>
      <w:r>
        <w:rPr>
          <w:b/>
          <w:bCs/>
        </w:rPr>
        <w:t>Instructor</w:t>
      </w:r>
      <w:r>
        <w:t xml:space="preserve"> – The Primary Instructor of Record for a credit-bearing course as listed in the official course schedule. For purposes of this policy, “Instructor” includes all faculty ranks, lecturers, and other individuals assigned primary instructional responsibility.</w:t>
      </w:r>
    </w:p>
    <w:p w14:paraId="4225A9C7" w14:textId="1F118923" w:rsidR="00AF2361" w:rsidRDefault="005E2780">
      <w:pPr>
        <w:spacing w:after="120"/>
      </w:pPr>
      <w:r>
        <w:rPr>
          <w:b/>
          <w:bCs/>
        </w:rPr>
        <w:t>Instructional Modality</w:t>
      </w:r>
      <w:r>
        <w:t xml:space="preserve"> – The </w:t>
      </w:r>
      <w:hyperlink r:id="rId16" w:history="1">
        <w:r w:rsidRPr="007F647D">
          <w:rPr>
            <w:rStyle w:val="Hyperlink"/>
          </w:rPr>
          <w:t>mode of course delivery</w:t>
        </w:r>
      </w:hyperlink>
      <w:r>
        <w:t xml:space="preserve"> as reflected in the course schedule: in-person</w:t>
      </w:r>
      <w:r w:rsidR="007F647D">
        <w:t>/face-to-face</w:t>
      </w:r>
      <w:r>
        <w:t xml:space="preserve">, </w:t>
      </w:r>
      <w:r w:rsidR="004C0410">
        <w:t>hybrid</w:t>
      </w:r>
      <w:r w:rsidR="007F647D">
        <w:t>/blended</w:t>
      </w:r>
      <w:r w:rsidR="004C0410">
        <w:t>, distance</w:t>
      </w:r>
      <w:r w:rsidR="007F647D">
        <w:t>/online</w:t>
      </w:r>
      <w:r w:rsidR="004C0410">
        <w:t xml:space="preserve">, or guided study. </w:t>
      </w:r>
    </w:p>
    <w:p w14:paraId="39EF122F" w14:textId="77777777" w:rsidR="00AF2361" w:rsidRDefault="005E2780">
      <w:pPr>
        <w:spacing w:after="120"/>
      </w:pPr>
      <w:r>
        <w:rPr>
          <w:b/>
          <w:bCs/>
        </w:rPr>
        <w:t>KBOR</w:t>
      </w:r>
      <w:r>
        <w:t xml:space="preserve"> – Kansas Board of Regents, the governing board for Kansas State University and other state universities in Kansas.</w:t>
      </w:r>
    </w:p>
    <w:p w14:paraId="23995537" w14:textId="72839286" w:rsidR="00AF2361" w:rsidRDefault="005E2780">
      <w:pPr>
        <w:spacing w:after="120"/>
      </w:pPr>
      <w:r w:rsidRPr="6C8C9345">
        <w:rPr>
          <w:b/>
          <w:bCs/>
        </w:rPr>
        <w:t>Official Syllabi Statements</w:t>
      </w:r>
      <w:r>
        <w:t xml:space="preserve"> – The mandatory university statements maintained and updated by the Office of the Provost. These statements must appear verbatim or be directly linked in every course syllabus.</w:t>
      </w:r>
      <w:r w:rsidR="00726A01">
        <w:t xml:space="preserve"> These statements are housed in the Coursedog Syllabus platform.</w:t>
      </w:r>
    </w:p>
    <w:p w14:paraId="4C66E50A" w14:textId="77777777" w:rsidR="00AF2361" w:rsidRDefault="005E2780">
      <w:pPr>
        <w:spacing w:after="120"/>
      </w:pPr>
      <w:r>
        <w:rPr>
          <w:b/>
          <w:bCs/>
        </w:rPr>
        <w:t>Student Learning Outcomes (SLOs)</w:t>
      </w:r>
      <w:r>
        <w:t xml:space="preserve"> – Clear, measurable statements describing what a student will know, value, or be able to do upon successful completion of a course. SLOs must align with program-level outcomes and, where applicable, system-wide transfer outcomes established by KBOR.</w:t>
      </w:r>
    </w:p>
    <w:p w14:paraId="5E71C09F" w14:textId="569131EF" w:rsidR="00AF2361" w:rsidRDefault="005E2780" w:rsidP="00A0067B">
      <w:pPr>
        <w:spacing w:after="120"/>
      </w:pPr>
      <w:r>
        <w:rPr>
          <w:b/>
          <w:bCs/>
        </w:rPr>
        <w:t>WCAG 2.1 Level AA</w:t>
      </w:r>
      <w:r>
        <w:t xml:space="preserve"> – Web Content Accessibility Guidelines version 2.1, Level AA, published by the World Wide Web Consortium (W3C). These guidelines define standards for digital content accessibility and are required by the U.S. Department of Justice ADA Title II Final Rule for state and local government entities, including public universities, effective April 24, 202</w:t>
      </w:r>
      <w:r w:rsidR="009C2EFA">
        <w:t>7</w:t>
      </w:r>
      <w:r>
        <w:t>.</w:t>
      </w:r>
    </w:p>
    <w:p w14:paraId="4CF7722C" w14:textId="5BCA125B" w:rsidR="00AF2361" w:rsidRDefault="009C2EFA">
      <w:pPr>
        <w:pStyle w:val="Heading2"/>
      </w:pPr>
      <w:bookmarkStart w:id="8" w:name="_Toc226371365"/>
      <w:r>
        <w:t>25.3</w:t>
      </w:r>
      <w:r w:rsidR="005E2780">
        <w:t xml:space="preserve"> Applicability</w:t>
      </w:r>
      <w:bookmarkEnd w:id="8"/>
    </w:p>
    <w:p w14:paraId="4BE3D6BA" w14:textId="2FCC625E" w:rsidR="00AF2361" w:rsidRDefault="005E2780">
      <w:pPr>
        <w:spacing w:after="120"/>
      </w:pPr>
      <w:r>
        <w:t>This policy applies to all credit-bearing courses at Kansas State University, regardless of instructional modality (</w:t>
      </w:r>
      <w:r w:rsidR="007F647D">
        <w:t>in-person/face-to-face, hybrid/blended, distance/online, or guided study.</w:t>
      </w:r>
      <w:r>
        <w:t>). This includes courses offered through all colleges, schools, and departments of the university, courses offered at regional campuses and extension sites, courses delivered via K-State Online or other distance education platforms, courses in collaborative or consortium arrangements for which K-State is the degree-granting institution</w:t>
      </w:r>
      <w:r w:rsidR="00726A01">
        <w:t xml:space="preserve"> (e.g. IDEA)</w:t>
      </w:r>
      <w:r>
        <w:t>, and courses offered during all academic terms, including summer sessions.</w:t>
      </w:r>
      <w:r w:rsidR="00A0067B">
        <w:t xml:space="preserve"> </w:t>
      </w:r>
    </w:p>
    <w:p w14:paraId="7EB1881D" w14:textId="641FF2DF" w:rsidR="00AF2361" w:rsidRDefault="00726A01">
      <w:pPr>
        <w:spacing w:after="120"/>
      </w:pPr>
      <w:r>
        <w:t xml:space="preserve">Certain courses, such as independent study, internships, practicum, and clinical courses, must also comply with this policy, with the understanding that certain elements (e.g., formal attendance policies, </w:t>
      </w:r>
      <w:r w:rsidR="00F62C54">
        <w:t>course schedule</w:t>
      </w:r>
      <w:r>
        <w:t>) may require adaptation to fit the nature of the course experience. In such cases, Instructors should consult with their department head or dean for guidance on appropriate implementation</w:t>
      </w:r>
      <w:r w:rsidR="00A10744">
        <w:t xml:space="preserve">, which should allow </w:t>
      </w:r>
      <w:r w:rsidR="00BF3BB8">
        <w:t>flexibility for evolving instructional content and individualized learning activities.</w:t>
      </w:r>
    </w:p>
    <w:p w14:paraId="7B688490" w14:textId="73B280F2" w:rsidR="00A0067B" w:rsidRDefault="00A0067B">
      <w:pPr>
        <w:spacing w:after="120"/>
      </w:pPr>
      <w:r>
        <w:t>Zero-credit hour courses are addressed specifically in Section 26.2.</w:t>
      </w:r>
    </w:p>
    <w:p w14:paraId="7BBFCBF9" w14:textId="2495FFED" w:rsidR="00AF2361" w:rsidRDefault="005E2780">
      <w:pPr>
        <w:spacing w:after="120"/>
      </w:pPr>
      <w:r>
        <w:t>This policy does not apply to noncredit continuing education or professional development offerings unless those offerings are specifically designed to carry or convert to academic credit.</w:t>
      </w:r>
    </w:p>
    <w:p w14:paraId="2BF655D1" w14:textId="722F0459" w:rsidR="00AF2361" w:rsidRDefault="009C2EFA">
      <w:pPr>
        <w:pStyle w:val="Heading2"/>
      </w:pPr>
      <w:bookmarkStart w:id="9" w:name="_.040_Official_Syllabus"/>
      <w:bookmarkStart w:id="10" w:name="_Toc226371366"/>
      <w:bookmarkEnd w:id="9"/>
      <w:r>
        <w:lastRenderedPageBreak/>
        <w:t>25.4</w:t>
      </w:r>
      <w:r w:rsidR="005E2780">
        <w:t xml:space="preserve"> Official Syllabus Repository</w:t>
      </w:r>
      <w:bookmarkEnd w:id="10"/>
    </w:p>
    <w:p w14:paraId="2446EF78" w14:textId="0B44A8D6" w:rsidR="00AF2361" w:rsidRDefault="005E2780">
      <w:pPr>
        <w:spacing w:after="120"/>
      </w:pPr>
      <w:r>
        <w:t xml:space="preserve">Effective </w:t>
      </w:r>
      <w:r w:rsidR="00924E54">
        <w:t>Fall 2026</w:t>
      </w:r>
      <w:r>
        <w:t>, Coursedog is the official university repository for all credit-bearing course syllabi. The Coursedog platform integrates with the university’s records retention schedule and serves as the primary source of syllabus evidence for HLC accreditation reviews, program assessment activities, and institutional research.</w:t>
      </w:r>
      <w:r w:rsidR="00726A01">
        <w:t xml:space="preserve"> Prior to </w:t>
      </w:r>
      <w:r w:rsidR="00924E54">
        <w:t>Fall</w:t>
      </w:r>
      <w:r w:rsidR="00726A01">
        <w:t xml:space="preserve"> 2026, the official university repository for all credit-bearing course syllabi is Microsoft SharePoint.</w:t>
      </w:r>
    </w:p>
    <w:p w14:paraId="505D9F71" w14:textId="77777777" w:rsidR="00AF2361" w:rsidRDefault="005E2780">
      <w:pPr>
        <w:spacing w:before="120" w:after="60"/>
      </w:pPr>
      <w:r>
        <w:rPr>
          <w:b/>
          <w:bCs/>
        </w:rPr>
        <w:t>Submission Requirement</w:t>
      </w:r>
    </w:p>
    <w:p w14:paraId="32BA8B84" w14:textId="6866C885" w:rsidR="00AF2361" w:rsidRDefault="005E2780">
      <w:pPr>
        <w:spacing w:after="120"/>
      </w:pPr>
      <w:r>
        <w:t xml:space="preserve">The Instructor must provide the syllabus to every enrolled student—either in hard copy or via the course management system—by the end of the first class session. The Instructor must also submit </w:t>
      </w:r>
      <w:r w:rsidR="00726A01">
        <w:t>the</w:t>
      </w:r>
      <w:r>
        <w:t xml:space="preserve"> electronic copy of the final course syllabus via Coursedog no later than:</w:t>
      </w:r>
    </w:p>
    <w:p w14:paraId="39871C26" w14:textId="77777777" w:rsidR="00AF2361" w:rsidRDefault="005E2780">
      <w:pPr>
        <w:pStyle w:val="ListParagraph"/>
        <w:numPr>
          <w:ilvl w:val="0"/>
          <w:numId w:val="2"/>
        </w:numPr>
        <w:spacing w:after="60"/>
      </w:pPr>
      <w:r>
        <w:t>The tenth (10th) day of the semester for a standard 16-week course;</w:t>
      </w:r>
    </w:p>
    <w:p w14:paraId="0F4FA570" w14:textId="4187DEEA" w:rsidR="00AF2361" w:rsidRDefault="005E2780">
      <w:pPr>
        <w:pStyle w:val="ListParagraph"/>
        <w:numPr>
          <w:ilvl w:val="0"/>
          <w:numId w:val="2"/>
        </w:numPr>
        <w:spacing w:after="60"/>
      </w:pPr>
      <w:r>
        <w:t>The fifth (5th) day of the session for an 8-week course;</w:t>
      </w:r>
    </w:p>
    <w:p w14:paraId="7D8A8609" w14:textId="77777777" w:rsidR="00AF2361" w:rsidRDefault="005E2780">
      <w:pPr>
        <w:pStyle w:val="ListParagraph"/>
        <w:numPr>
          <w:ilvl w:val="0"/>
          <w:numId w:val="2"/>
        </w:numPr>
        <w:spacing w:after="60"/>
      </w:pPr>
      <w:r>
        <w:t>The third (3rd) day of the session for a 4-week course; or</w:t>
      </w:r>
    </w:p>
    <w:p w14:paraId="46450AFE" w14:textId="77777777" w:rsidR="00AF2361" w:rsidRDefault="005E2780">
      <w:pPr>
        <w:pStyle w:val="ListParagraph"/>
        <w:numPr>
          <w:ilvl w:val="0"/>
          <w:numId w:val="2"/>
        </w:numPr>
        <w:spacing w:after="60"/>
      </w:pPr>
      <w:r>
        <w:t>The proportional equivalent for any other course length.</w:t>
      </w:r>
    </w:p>
    <w:p w14:paraId="61C3988C" w14:textId="33387616" w:rsidR="00AF2361" w:rsidRDefault="42D0B0CE">
      <w:pPr>
        <w:spacing w:after="120"/>
      </w:pPr>
      <w:r>
        <w:t>A course syllabus submitted to Coursedog constitutes the official syllabus of record and is subject to the university’s records retention schedule</w:t>
      </w:r>
      <w:r w:rsidR="24A2B4F8">
        <w:t xml:space="preserve"> and the Kansas Open Records Act (KORA), </w:t>
      </w:r>
      <w:hyperlink r:id="rId17">
        <w:r w:rsidR="24A2B4F8" w:rsidRPr="11101E30">
          <w:rPr>
            <w:rStyle w:val="Hyperlink"/>
          </w:rPr>
          <w:t>K.S.A. 45</w:t>
        </w:r>
        <w:r w:rsidR="007F494F">
          <w:rPr>
            <w:rStyle w:val="Hyperlink"/>
          </w:rPr>
          <w:t>-</w:t>
        </w:r>
        <w:r w:rsidR="24A2B4F8" w:rsidRPr="11101E30">
          <w:rPr>
            <w:rStyle w:val="Hyperlink"/>
          </w:rPr>
          <w:t>215</w:t>
        </w:r>
      </w:hyperlink>
      <w:r w:rsidR="24A2B4F8">
        <w:t xml:space="preserve"> et seq</w:t>
      </w:r>
      <w:r>
        <w:t xml:space="preserve">. </w:t>
      </w:r>
      <w:r w:rsidR="24A2B4F8">
        <w:t xml:space="preserve">As records of a public institution, syllabi submitted to the repository may be subject to open records requests. </w:t>
      </w:r>
      <w:r>
        <w:t>Substantive revisions to a syllabus after submission must be documented and communicated to students in writing, with a dated addendum retained in the official record.</w:t>
      </w:r>
    </w:p>
    <w:p w14:paraId="65727B36" w14:textId="78A8B9B2" w:rsidR="00AF2361" w:rsidRDefault="005E2780">
      <w:pPr>
        <w:spacing w:before="120" w:after="60"/>
        <w:rPr>
          <w:b/>
        </w:rPr>
      </w:pPr>
      <w:r>
        <w:rPr>
          <w:b/>
          <w:bCs/>
        </w:rPr>
        <w:t>Accessibility of Syllabi</w:t>
      </w:r>
    </w:p>
    <w:p w14:paraId="580D769B" w14:textId="7F84A0F4" w:rsidR="007470C4" w:rsidRDefault="005E2780" w:rsidP="3B25D1C7">
      <w:pPr>
        <w:spacing w:before="120" w:after="60"/>
      </w:pPr>
      <w:r>
        <w:t>To support student transparency</w:t>
      </w:r>
      <w:r w:rsidR="007470C4">
        <w:t xml:space="preserve"> and informed enrollment decisions, K-State will make prior-term syllabi stored in the Coursedog syllabus repository accessible to students during the enrollment period for the upcoming term. Access to prior syllabi – not newly authored syllabi for the upcoming term – allows students to understand course structure, </w:t>
      </w:r>
      <w:commentRangeStart w:id="11"/>
      <w:commentRangeStart w:id="12"/>
      <w:commentRangeStart w:id="13"/>
      <w:r w:rsidR="007470C4">
        <w:t>expectations</w:t>
      </w:r>
      <w:commentRangeEnd w:id="11"/>
      <w:r>
        <w:rPr>
          <w:rStyle w:val="CommentReference"/>
          <w:sz w:val="22"/>
          <w:szCs w:val="22"/>
        </w:rPr>
        <w:commentReference w:id="11"/>
      </w:r>
      <w:commentRangeEnd w:id="12"/>
      <w:r>
        <w:rPr>
          <w:rStyle w:val="CommentReference"/>
          <w:sz w:val="22"/>
          <w:szCs w:val="22"/>
        </w:rPr>
        <w:commentReference w:id="12"/>
      </w:r>
      <w:commentRangeEnd w:id="13"/>
      <w:r w:rsidR="0054036A">
        <w:rPr>
          <w:rStyle w:val="CommentReference"/>
          <w:sz w:val="22"/>
          <w:szCs w:val="22"/>
        </w:rPr>
        <w:commentReference w:id="13"/>
      </w:r>
      <w:r w:rsidR="007470C4">
        <w:t xml:space="preserve">, and requirements before </w:t>
      </w:r>
      <w:r w:rsidR="005F302A">
        <w:t xml:space="preserve">enrolling. </w:t>
      </w:r>
      <w:r w:rsidR="0017582E">
        <w:t xml:space="preserve">Students will be notified at the point of access that the syllabus displayed reflects a prior term and that course content, </w:t>
      </w:r>
      <w:r w:rsidR="005E6CB2">
        <w:t xml:space="preserve">expectations, </w:t>
      </w:r>
      <w:r w:rsidR="0017582E">
        <w:t>structure, sequencing, assignments, and requirements may differ in the upcoming offering at the discretion of the course instructor. This practice does not impose any obligation on instructors to author or submit syllabi for future term prior to the normal submission timeline established un</w:t>
      </w:r>
      <w:r w:rsidR="00732333">
        <w:t>der Section .040</w:t>
      </w:r>
    </w:p>
    <w:p w14:paraId="131AA27F" w14:textId="60EB31BA" w:rsidR="00AF2361" w:rsidRDefault="00732333" w:rsidP="3B25D1C7">
      <w:pPr>
        <w:spacing w:before="120" w:after="60"/>
      </w:pPr>
      <w:r>
        <w:t xml:space="preserve">This institutional transparency practice aligns with HLC Assumed </w:t>
      </w:r>
      <w:r w:rsidR="004444EF">
        <w:t xml:space="preserve">Practices (Part C) and the university’s consumer information responsibilities under </w:t>
      </w:r>
      <w:hyperlink r:id="rId18">
        <w:r w:rsidR="005E2780" w:rsidRPr="76A0E8AF">
          <w:rPr>
            <w:rStyle w:val="Hyperlink"/>
          </w:rPr>
          <w:t xml:space="preserve"> 34 CFR Part 668, Subpart D</w:t>
        </w:r>
      </w:hyperlink>
      <w:r w:rsidR="005D650F">
        <w:t>, and supports students’ ability to make informed academic planning decisions.</w:t>
      </w:r>
    </w:p>
    <w:p w14:paraId="7FD8A1D2" w14:textId="3AFA645F" w:rsidR="00AF2361" w:rsidRDefault="0429082F" w:rsidP="11101E30">
      <w:pPr>
        <w:spacing w:before="120" w:after="60"/>
        <w:rPr>
          <w:b/>
          <w:bCs/>
        </w:rPr>
      </w:pPr>
      <w:r w:rsidRPr="11101E30">
        <w:rPr>
          <w:b/>
          <w:bCs/>
        </w:rPr>
        <w:t>Retention</w:t>
      </w:r>
    </w:p>
    <w:p w14:paraId="054F5A66" w14:textId="62F06EAC" w:rsidR="00AF2361" w:rsidRDefault="005E2780" w:rsidP="00A0067B">
      <w:pPr>
        <w:spacing w:after="120"/>
      </w:pPr>
      <w:r>
        <w:t xml:space="preserve">Syllabi submitted to </w:t>
      </w:r>
      <w:commentRangeStart w:id="14"/>
      <w:commentRangeStart w:id="15"/>
      <w:r>
        <w:t>Coursedog</w:t>
      </w:r>
      <w:commentRangeEnd w:id="14"/>
      <w:r>
        <w:rPr>
          <w:rStyle w:val="CommentReference"/>
          <w:sz w:val="22"/>
          <w:szCs w:val="22"/>
        </w:rPr>
        <w:commentReference w:id="14"/>
      </w:r>
      <w:commentRangeEnd w:id="15"/>
      <w:r w:rsidR="00574A16">
        <w:rPr>
          <w:rStyle w:val="CommentReference"/>
          <w:sz w:val="22"/>
          <w:szCs w:val="22"/>
        </w:rPr>
        <w:commentReference w:id="15"/>
      </w:r>
      <w:r>
        <w:t xml:space="preserve"> are retained in accordance with the Kansas State University Records Retention Schedule </w:t>
      </w:r>
      <w:r w:rsidR="009E1C81">
        <w:t xml:space="preserve">(0624-367) </w:t>
      </w:r>
      <w:r>
        <w:t>and applicable Kansas state records laws. These records support ongoing program assessment, HLC comprehensive evaluations, and responses to student or third-party inquiries regarding course content and expectations.</w:t>
      </w:r>
    </w:p>
    <w:p w14:paraId="504BC096" w14:textId="55EB6732" w:rsidR="00AF2361" w:rsidRDefault="009E1C81">
      <w:pPr>
        <w:pStyle w:val="Heading2"/>
      </w:pPr>
      <w:bookmarkStart w:id="16" w:name="_.050_Required_Syllabus"/>
      <w:bookmarkStart w:id="17" w:name="_Toc226371367"/>
      <w:bookmarkEnd w:id="16"/>
      <w:r>
        <w:t>26</w:t>
      </w:r>
      <w:r w:rsidR="00C7768A">
        <w:t>.1</w:t>
      </w:r>
      <w:r w:rsidR="005E2780">
        <w:t xml:space="preserve"> Required Syllabus Elements</w:t>
      </w:r>
      <w:bookmarkEnd w:id="17"/>
    </w:p>
    <w:p w14:paraId="70DCAD4D" w14:textId="4A9B2571" w:rsidR="00AF2361" w:rsidRDefault="005E2780" w:rsidP="00752CFF">
      <w:pPr>
        <w:spacing w:after="120"/>
      </w:pPr>
      <w:r>
        <w:t xml:space="preserve">To meet the </w:t>
      </w:r>
      <w:hyperlink r:id="rId19" w:history="1">
        <w:r w:rsidRPr="008A139E">
          <w:rPr>
            <w:rStyle w:val="Hyperlink"/>
          </w:rPr>
          <w:t>HLC Criteria for Accreditation (Criteria 3 and 4)</w:t>
        </w:r>
      </w:hyperlink>
      <w:r>
        <w:t>, Assumed Practices (</w:t>
      </w:r>
      <w:hyperlink r:id="rId20" w:history="1">
        <w:r w:rsidRPr="008A139E">
          <w:rPr>
            <w:rStyle w:val="Hyperlink"/>
          </w:rPr>
          <w:t>Part C</w:t>
        </w:r>
      </w:hyperlink>
      <w:r>
        <w:t>), federal credit hour requirements (</w:t>
      </w:r>
      <w:hyperlink r:id="rId21" w:history="1">
        <w:r w:rsidRPr="008A139E">
          <w:rPr>
            <w:rStyle w:val="Hyperlink"/>
          </w:rPr>
          <w:t>34 CFR § 600.2</w:t>
        </w:r>
      </w:hyperlink>
      <w:r>
        <w:t xml:space="preserve">), and University Handbook standards, every syllabus must include, at minimum, the elements described below. Elements are organized into four categories: Course </w:t>
      </w:r>
      <w:r>
        <w:lastRenderedPageBreak/>
        <w:t>Information, Learning Outcomes and Assessment, Course-Specific Policies, and Mandatory University Statements.</w:t>
      </w:r>
      <w:r w:rsidR="00AE32AF">
        <w:t xml:space="preserve"> The purpose of this section is to establish the minimum required elements necessary to support student success, institutional compliance, and accreditation expectations. Nothing in this section shall be interpreted to require uniform pedagogical approaches, identical course structures across instructors, or limitation of instructor discretion in course design and delivery. Different instructors teaching the same course may appropriately utilize different instructional approaches, assignments, readings, pacing strategies, and pedagogical methods while still supporting shared curricular goals and learning outcomes consistent with K-State’s Next-Gen strategic commitment to inspiring learning and student success.</w:t>
      </w:r>
    </w:p>
    <w:p w14:paraId="5CF1651F" w14:textId="11CB6BE8" w:rsidR="00AF2361" w:rsidRDefault="005E2780">
      <w:pPr>
        <w:spacing w:before="120" w:after="60"/>
      </w:pPr>
      <w:r>
        <w:rPr>
          <w:b/>
          <w:bCs/>
        </w:rPr>
        <w:t xml:space="preserve">A. </w:t>
      </w:r>
      <w:r w:rsidR="00E91C2F">
        <w:rPr>
          <w:b/>
          <w:bCs/>
        </w:rPr>
        <w:t xml:space="preserve">Overall </w:t>
      </w:r>
      <w:r>
        <w:rPr>
          <w:b/>
          <w:bCs/>
        </w:rPr>
        <w:t>Course Information</w:t>
      </w:r>
    </w:p>
    <w:p w14:paraId="33C143BC" w14:textId="22372DB5" w:rsidR="00AF2361" w:rsidRDefault="005E2780">
      <w:pPr>
        <w:spacing w:after="120"/>
      </w:pPr>
      <w:r w:rsidRPr="3FAC8073">
        <w:rPr>
          <w:b/>
          <w:bCs/>
        </w:rPr>
        <w:t>Basic Course Details.</w:t>
      </w:r>
      <w:r>
        <w:t xml:space="preserve"> Course title, prefix, number, </w:t>
      </w:r>
      <w:commentRangeStart w:id="18"/>
      <w:commentRangeStart w:id="19"/>
      <w:r>
        <w:t>section number</w:t>
      </w:r>
      <w:commentRangeEnd w:id="18"/>
      <w:r>
        <w:rPr>
          <w:rStyle w:val="CommentReference"/>
          <w:sz w:val="22"/>
          <w:szCs w:val="22"/>
        </w:rPr>
        <w:commentReference w:id="18"/>
      </w:r>
      <w:commentRangeEnd w:id="19"/>
      <w:r w:rsidR="00692BBF">
        <w:rPr>
          <w:rStyle w:val="CommentReference"/>
          <w:sz w:val="22"/>
          <w:szCs w:val="22"/>
        </w:rPr>
        <w:commentReference w:id="19"/>
      </w:r>
      <w:r>
        <w:t xml:space="preserve">, credit hours, meeting days, times, and location as listed in the official course schedule and university catalog. For </w:t>
      </w:r>
      <w:r w:rsidR="008E697B">
        <w:t>distance/</w:t>
      </w:r>
      <w:r>
        <w:t>online and hybrid</w:t>
      </w:r>
      <w:r w:rsidR="008E697B">
        <w:t>/blended</w:t>
      </w:r>
      <w:r>
        <w:t xml:space="preserve"> courses, the virtual meeting format or asynchronous nature of the course must be clearly noted.</w:t>
      </w:r>
    </w:p>
    <w:p w14:paraId="1850453D" w14:textId="0BD7C0E4" w:rsidR="00AF2361" w:rsidRDefault="005E2780">
      <w:pPr>
        <w:spacing w:after="120"/>
      </w:pPr>
      <w:r>
        <w:rPr>
          <w:b/>
          <w:bCs/>
        </w:rPr>
        <w:t>Instructional Modality.</w:t>
      </w:r>
      <w:r>
        <w:t xml:space="preserve"> The instructional modality of the course as reflected in the course schedule (e.g., </w:t>
      </w:r>
      <w:r w:rsidR="008E697B">
        <w:t>in-person/face-to-face, hybrid/blended, distance/online, or guided study</w:t>
      </w:r>
      <w:r>
        <w:t xml:space="preserve">). </w:t>
      </w:r>
    </w:p>
    <w:p w14:paraId="5A7CE2A4" w14:textId="7D9060F0" w:rsidR="00AF2361" w:rsidRDefault="005E2780">
      <w:pPr>
        <w:spacing w:after="120"/>
      </w:pPr>
      <w:r>
        <w:rPr>
          <w:b/>
          <w:bCs/>
        </w:rPr>
        <w:t>Instructor Information.</w:t>
      </w:r>
      <w:r>
        <w:t xml:space="preserve"> Instructor name, K-State email address, office location or virtual office link, and office hours or drop-in availability, consistent with </w:t>
      </w:r>
      <w:hyperlink r:id="rId22">
        <w:r w:rsidR="64273A4D" w:rsidRPr="27E44AF2">
          <w:rPr>
            <w:rStyle w:val="Hyperlink"/>
          </w:rPr>
          <w:t>University Handbook Section D12</w:t>
        </w:r>
      </w:hyperlink>
      <w:r w:rsidR="64273A4D">
        <w:t>.</w:t>
      </w:r>
      <w:r>
        <w:t xml:space="preserve"> For team-taught or multi-section courses, the Primary Instructor of Record must be clearly identified, along with the role of any co-instructors or graduate teaching assistants</w:t>
      </w:r>
      <w:r w:rsidR="00242A2A">
        <w:t xml:space="preserve"> (e.g., co-instructor responsible for Wednesday lectures and grading; graduate teaching assistant responsible for lab sections; course coordinator — contact for grade disputes and enrollment issues).</w:t>
      </w:r>
    </w:p>
    <w:p w14:paraId="729AB04B" w14:textId="77777777" w:rsidR="00F85885" w:rsidRDefault="005E2780">
      <w:pPr>
        <w:spacing w:after="120"/>
      </w:pPr>
      <w:r>
        <w:rPr>
          <w:b/>
          <w:bCs/>
        </w:rPr>
        <w:t>Course Description.</w:t>
      </w:r>
      <w:r>
        <w:t xml:space="preserve"> The official course description as it appears in the Kansas State University Catalog. </w:t>
      </w:r>
    </w:p>
    <w:p w14:paraId="040F913D" w14:textId="0FB03E61" w:rsidR="00AF2361" w:rsidRDefault="0045735A">
      <w:pPr>
        <w:spacing w:after="120"/>
      </w:pPr>
      <w:r>
        <w:rPr>
          <w:b/>
          <w:bCs/>
        </w:rPr>
        <w:t>Supplemental Course Information</w:t>
      </w:r>
      <w:r w:rsidR="00F85885">
        <w:rPr>
          <w:b/>
          <w:bCs/>
        </w:rPr>
        <w:t xml:space="preserve">. </w:t>
      </w:r>
      <w:r w:rsidR="00F85885">
        <w:t>If applicable, i</w:t>
      </w:r>
      <w:r w:rsidR="005E2780">
        <w:t xml:space="preserve">nstructors may supplement the catalog description with additional </w:t>
      </w:r>
      <w:r w:rsidR="00492AC1">
        <w:t>context but</w:t>
      </w:r>
      <w:r w:rsidR="005E2780">
        <w:t xml:space="preserve"> may not substitute different language in place of the official description.</w:t>
      </w:r>
      <w:r w:rsidR="00F85885">
        <w:t xml:space="preserve"> </w:t>
      </w:r>
      <w:r w:rsidR="00E6121A">
        <w:t xml:space="preserve">An </w:t>
      </w:r>
      <w:r w:rsidR="00837524">
        <w:t>applicable example would be a special topics course.</w:t>
      </w:r>
    </w:p>
    <w:p w14:paraId="64437499" w14:textId="3FC14863" w:rsidR="00AF2361" w:rsidRDefault="005E2780">
      <w:pPr>
        <w:spacing w:after="120"/>
      </w:pPr>
      <w:r>
        <w:rPr>
          <w:b/>
          <w:bCs/>
        </w:rPr>
        <w:t>Required Materials.</w:t>
      </w:r>
      <w:r>
        <w:t xml:space="preserve"> A complete list of required textbooks, course packets, software, equipment, or other materials students must obtain to succeed in the course, consistent with </w:t>
      </w:r>
      <w:hyperlink r:id="rId23" w:anchor="F67">
        <w:r w:rsidRPr="3C055361">
          <w:rPr>
            <w:rStyle w:val="Hyperlink"/>
          </w:rPr>
          <w:t>University Handbook Section F67</w:t>
        </w:r>
      </w:hyperlink>
      <w:r>
        <w:t xml:space="preserve">. The list must include title, author, edition, </w:t>
      </w:r>
      <w:r w:rsidR="00B73F6D">
        <w:t xml:space="preserve">and </w:t>
      </w:r>
      <w:r>
        <w:t>ISBN (where applicable</w:t>
      </w:r>
      <w:r w:rsidR="002C2D19">
        <w:t>).</w:t>
      </w:r>
      <w:r w:rsidR="00844F12">
        <w:t xml:space="preserve"> </w:t>
      </w:r>
      <w:r w:rsidR="00561799">
        <w:t>S</w:t>
      </w:r>
      <w:r w:rsidR="00844F12">
        <w:t>tudents must be informed of any technology requirements and associated costs</w:t>
      </w:r>
      <w:r w:rsidR="00142455">
        <w:t xml:space="preserve"> (e.g., special course apps</w:t>
      </w:r>
      <w:r w:rsidR="000E6E43">
        <w:t>)</w:t>
      </w:r>
      <w:r w:rsidR="00844F12">
        <w:t>.</w:t>
      </w:r>
      <w:r w:rsidR="005275DB">
        <w:t xml:space="preserve"> Instructors are encouraged to identify Open Educational Resources (OER) as an option where appropriate.</w:t>
      </w:r>
    </w:p>
    <w:p w14:paraId="5D848340" w14:textId="1E3332FA" w:rsidR="00AF2361" w:rsidRDefault="00E91C2F" w:rsidP="00E91C2F">
      <w:pPr>
        <w:spacing w:after="120"/>
      </w:pPr>
      <w:r>
        <w:rPr>
          <w:b/>
          <w:bCs/>
        </w:rPr>
        <w:t xml:space="preserve">Course Management System (Canvas). </w:t>
      </w:r>
      <w:r>
        <w:t>Kansas State University uses Canvas as its official learning management system (</w:t>
      </w:r>
      <w:hyperlink r:id="rId24">
        <w:r w:rsidR="7BD3194C" w:rsidRPr="72164A3E">
          <w:rPr>
            <w:rStyle w:val="Hyperlink"/>
          </w:rPr>
          <w:t>https://k-state.instructure.com</w:t>
        </w:r>
      </w:hyperlink>
      <w:r w:rsidR="7BD3194C">
        <w:t>).</w:t>
      </w:r>
      <w:r>
        <w:t xml:space="preserve"> If the course uses Canvas</w:t>
      </w:r>
      <w:r w:rsidR="00997347">
        <w:t xml:space="preserve"> to post materials</w:t>
      </w:r>
      <w:r w:rsidR="003A7533">
        <w:t xml:space="preserve">, announcements, </w:t>
      </w:r>
      <w:r w:rsidR="00384534">
        <w:t>grades, or o</w:t>
      </w:r>
      <w:r w:rsidR="006B73E5">
        <w:t>ther course communications,</w:t>
      </w:r>
      <w:r>
        <w:t xml:space="preserve"> the syllabus must include a statement directing students to the course Canvas site. If the course does not use Canvas, the syllabus must clearly state the alternative means by which students should communicate with the Instructor and access course materials, including at minimum the Instructor's official K-State university email address. Use of personal or third-party email accounts as the primary communication channel is not permitted</w:t>
      </w:r>
      <w:r w:rsidR="007A6B1E">
        <w:t xml:space="preserve"> (e.g., </w:t>
      </w:r>
      <w:hyperlink r:id="rId25">
        <w:r w:rsidR="03379FE7" w:rsidRPr="72164A3E">
          <w:rPr>
            <w:rStyle w:val="Hyperlink"/>
          </w:rPr>
          <w:t>PPM 3410</w:t>
        </w:r>
      </w:hyperlink>
      <w:r w:rsidR="03379FE7">
        <w:t>)</w:t>
      </w:r>
      <w:r w:rsidR="7BD3194C">
        <w:t>.</w:t>
      </w:r>
    </w:p>
    <w:p w14:paraId="681F6437" w14:textId="7B0939E7" w:rsidR="007A6B1E" w:rsidRDefault="005548E1">
      <w:pPr>
        <w:spacing w:before="120" w:after="60"/>
      </w:pPr>
      <w:r w:rsidRPr="6C8C9345">
        <w:rPr>
          <w:b/>
          <w:bCs/>
        </w:rPr>
        <w:t xml:space="preserve">Student Resources Available. </w:t>
      </w:r>
      <w:r>
        <w:t xml:space="preserve">Every syllabus must include a </w:t>
      </w:r>
      <w:commentRangeStart w:id="20"/>
      <w:commentRangeStart w:id="21"/>
      <w:r>
        <w:t>statement directing students to key</w:t>
      </w:r>
      <w:r w:rsidR="3E64667A">
        <w:t xml:space="preserve">  </w:t>
      </w:r>
      <w:r>
        <w:t xml:space="preserve"> university support resources</w:t>
      </w:r>
      <w:commentRangeEnd w:id="20"/>
      <w:r>
        <w:rPr>
          <w:rStyle w:val="CommentReference"/>
          <w:sz w:val="22"/>
          <w:szCs w:val="22"/>
        </w:rPr>
        <w:commentReference w:id="20"/>
      </w:r>
      <w:commentRangeEnd w:id="21"/>
      <w:r>
        <w:rPr>
          <w:rStyle w:val="CommentReference"/>
          <w:sz w:val="22"/>
          <w:szCs w:val="22"/>
        </w:rPr>
        <w:commentReference w:id="21"/>
      </w:r>
      <w:r>
        <w:t xml:space="preserve">. At minimum, syllabi must reference mental health and counseling services, student </w:t>
      </w:r>
      <w:r w:rsidR="008E697B">
        <w:t>support</w:t>
      </w:r>
      <w:r>
        <w:t xml:space="preserve"> and well-being resources, and IT support services. </w:t>
      </w:r>
    </w:p>
    <w:p w14:paraId="4CFB2D65" w14:textId="77777777" w:rsidR="005548E1" w:rsidRPr="005548E1" w:rsidRDefault="005548E1">
      <w:pPr>
        <w:spacing w:before="120" w:after="60"/>
      </w:pPr>
    </w:p>
    <w:p w14:paraId="3FAC1F64" w14:textId="4BC1A1D6" w:rsidR="00AF2361" w:rsidRDefault="005E2780">
      <w:pPr>
        <w:spacing w:before="120" w:after="60"/>
      </w:pPr>
      <w:r>
        <w:rPr>
          <w:b/>
          <w:bCs/>
        </w:rPr>
        <w:lastRenderedPageBreak/>
        <w:t xml:space="preserve">B. </w:t>
      </w:r>
      <w:commentRangeStart w:id="22"/>
      <w:commentRangeStart w:id="23"/>
      <w:r>
        <w:rPr>
          <w:b/>
          <w:bCs/>
        </w:rPr>
        <w:t>Learning Outcomes</w:t>
      </w:r>
      <w:commentRangeEnd w:id="22"/>
      <w:r>
        <w:rPr>
          <w:rStyle w:val="CommentReference"/>
          <w:b/>
          <w:bCs/>
          <w:sz w:val="22"/>
          <w:szCs w:val="22"/>
        </w:rPr>
        <w:commentReference w:id="22"/>
      </w:r>
      <w:commentRangeEnd w:id="23"/>
      <w:r w:rsidR="0062117F">
        <w:rPr>
          <w:rStyle w:val="CommentReference"/>
          <w:b/>
          <w:bCs/>
          <w:sz w:val="22"/>
          <w:szCs w:val="22"/>
        </w:rPr>
        <w:commentReference w:id="23"/>
      </w:r>
      <w:r w:rsidR="007A6B1E">
        <w:rPr>
          <w:b/>
          <w:bCs/>
        </w:rPr>
        <w:t>, Assessment, and Evaluation Methods</w:t>
      </w:r>
    </w:p>
    <w:p w14:paraId="493D23CF" w14:textId="5CC86C87" w:rsidR="00AF2361" w:rsidRDefault="005E2780">
      <w:pPr>
        <w:spacing w:after="120"/>
      </w:pPr>
      <w:r>
        <w:rPr>
          <w:b/>
          <w:bCs/>
        </w:rPr>
        <w:t>Student Learning Outcomes (SLOs).</w:t>
      </w:r>
      <w:r>
        <w:t xml:space="preserve"> Clearly stated, measurable goals for what students will know, value, or be able to do upon successful completion of the course. </w:t>
      </w:r>
      <w:r w:rsidR="00546641">
        <w:t xml:space="preserve">For courses required within a degree or certificate program, </w:t>
      </w:r>
      <w:r>
        <w:t xml:space="preserve">SLOs must align with program-level outcomes as required under </w:t>
      </w:r>
      <w:hyperlink r:id="rId26" w:history="1">
        <w:r w:rsidRPr="005E01A4">
          <w:rPr>
            <w:rStyle w:val="Hyperlink"/>
          </w:rPr>
          <w:t>HLC Criterion 4.B.</w:t>
        </w:r>
      </w:hyperlink>
      <w:r>
        <w:t xml:space="preserve"> For all courses listed in the KBOR system-wide transfer framework, the syllabus must </w:t>
      </w:r>
      <w:r w:rsidR="00A87967">
        <w:t xml:space="preserve">also </w:t>
      </w:r>
      <w:r>
        <w:t>clearly state the agreed-upon system-wide student learning outcomes as established by the Kansas Board of Regents.</w:t>
      </w:r>
    </w:p>
    <w:p w14:paraId="1DA91C06" w14:textId="613224EC" w:rsidR="009D2BF8" w:rsidRPr="0047287A" w:rsidRDefault="009D2BF8">
      <w:bookmarkStart w:id="24" w:name="OLE_LINK4"/>
      <w:r>
        <w:rPr>
          <w:b/>
          <w:bCs/>
        </w:rPr>
        <w:t>Grading Scale and Evaluation Criteria.</w:t>
      </w:r>
      <w:r>
        <w:t xml:space="preserve"> A clear explanation of how student learning will be assessed, including the percentage weight or point value of all graded components (e.g., assignments, exams, participation, projects, lab work), the grading scale used to convert numeric scores to letter grades, and the basis for final grade calculation. Grading criteria must be sufficient for students to understand how their performance will be evaluated throughout the term</w:t>
      </w:r>
      <w:r w:rsidR="0047287A">
        <w:t xml:space="preserve">. </w:t>
      </w:r>
      <w:r w:rsidR="005415D3">
        <w:t xml:space="preserve">Rubrics, scoring guides, and other </w:t>
      </w:r>
      <w:r w:rsidR="00996EA7">
        <w:t>evaluation criteria</w:t>
      </w:r>
      <w:r w:rsidR="005415D3">
        <w:t xml:space="preserve"> are not required in the syllabus</w:t>
      </w:r>
      <w:r w:rsidR="00C17715">
        <w:t xml:space="preserve">, but should be </w:t>
      </w:r>
      <w:r w:rsidR="00687DFA">
        <w:t>posted or distributed with the individual assignments throughout the term</w:t>
      </w:r>
      <w:r>
        <w:t xml:space="preserve">. Refer to </w:t>
      </w:r>
      <w:hyperlink r:id="rId27" w:anchor="grades">
        <w:r w:rsidRPr="3934C77C">
          <w:rPr>
            <w:rStyle w:val="Hyperlink"/>
          </w:rPr>
          <w:t>Section F80</w:t>
        </w:r>
      </w:hyperlink>
      <w:r>
        <w:t xml:space="preserve"> in the University Handbook for grading scale guidance. The grading scale and criteria may not deviate from the approved option passed via the curriculum submission for all sections of the course (e.g., one may not offer a section approved for standard grading – A, B, C, D, F – as a CR/NC offering). </w:t>
      </w:r>
      <w:r w:rsidRPr="3934C77C">
        <w:rPr>
          <w:color w:val="000000" w:themeColor="text1"/>
        </w:rPr>
        <w:t>This does not forbid offering retake assignments or exams, nor does it forbid setting extra-credit assignments, as the instructor may deem appropriate in achieving learning outcomes.</w:t>
      </w:r>
    </w:p>
    <w:p w14:paraId="71D7E985" w14:textId="77777777" w:rsidR="001126B5" w:rsidRDefault="001126B5"/>
    <w:bookmarkEnd w:id="24"/>
    <w:p w14:paraId="16CDCE3C" w14:textId="77777777" w:rsidR="00AF2361" w:rsidRDefault="005E2780">
      <w:pPr>
        <w:spacing w:after="120"/>
      </w:pPr>
      <w:r>
        <w:rPr>
          <w:b/>
          <w:bCs/>
        </w:rPr>
        <w:t>Proctored and Online Examinations.</w:t>
      </w:r>
      <w:r>
        <w:t xml:space="preserve"> If a proctored or remotely proctored examination is required for an online or hybrid course, the syllabus must note the due date, format, any technology or identity verification requirements, and any direct cost to the student associated with proctoring services.</w:t>
      </w:r>
    </w:p>
    <w:p w14:paraId="385AF287" w14:textId="2ECFA7B4" w:rsidR="00AF2361" w:rsidRDefault="005E2780" w:rsidP="009E1CC1">
      <w:pPr>
        <w:spacing w:after="120"/>
      </w:pPr>
      <w:r w:rsidRPr="6C8C9345">
        <w:rPr>
          <w:b/>
          <w:bCs/>
        </w:rPr>
        <w:t>Common Examinations.</w:t>
      </w:r>
      <w:r>
        <w:t xml:space="preserve"> If common exams are administered across multiple sections of a course, the syllabus must clearly list the scheduled dates, times, and locations of all common exams. Information about conflict accommodation procedures </w:t>
      </w:r>
      <w:r w:rsidR="009A3ABB">
        <w:t>(</w:t>
      </w:r>
      <w:hyperlink r:id="rId28" w:anchor="examinations" w:history="1">
        <w:r w:rsidR="009A3ABB" w:rsidRPr="0039690C">
          <w:rPr>
            <w:rStyle w:val="Hyperlink"/>
          </w:rPr>
          <w:t>see F</w:t>
        </w:r>
        <w:r w:rsidR="00810ABC" w:rsidRPr="0039690C">
          <w:rPr>
            <w:rStyle w:val="Hyperlink"/>
          </w:rPr>
          <w:t xml:space="preserve">70 </w:t>
        </w:r>
        <w:r w:rsidR="0039690C" w:rsidRPr="0039690C">
          <w:rPr>
            <w:rStyle w:val="Hyperlink"/>
          </w:rPr>
          <w:t>–</w:t>
        </w:r>
        <w:r w:rsidR="00810ABC" w:rsidRPr="0039690C">
          <w:rPr>
            <w:rStyle w:val="Hyperlink"/>
          </w:rPr>
          <w:t xml:space="preserve"> </w:t>
        </w:r>
        <w:r w:rsidR="0039690C" w:rsidRPr="0039690C">
          <w:rPr>
            <w:rStyle w:val="Hyperlink"/>
          </w:rPr>
          <w:t>F76 in University Handbook</w:t>
        </w:r>
      </w:hyperlink>
      <w:r w:rsidR="0039690C">
        <w:t xml:space="preserve">) </w:t>
      </w:r>
      <w:r>
        <w:t>must also be provided.</w:t>
      </w:r>
    </w:p>
    <w:p w14:paraId="17BB87A8" w14:textId="640B5591" w:rsidR="007A6B1E" w:rsidRDefault="407E8244" w:rsidP="11101E30">
      <w:pPr>
        <w:spacing w:before="120" w:after="60"/>
        <w:rPr>
          <w:b/>
          <w:bCs/>
        </w:rPr>
      </w:pPr>
      <w:r w:rsidRPr="11101E30">
        <w:rPr>
          <w:b/>
          <w:bCs/>
        </w:rPr>
        <w:t>C. Course-Specific Policies</w:t>
      </w:r>
    </w:p>
    <w:p w14:paraId="667A9B58" w14:textId="087066FE" w:rsidR="007A6B1E" w:rsidRDefault="007A6B1E" w:rsidP="007A6B1E">
      <w:pPr>
        <w:spacing w:after="120"/>
      </w:pPr>
      <w:r>
        <w:rPr>
          <w:b/>
          <w:bCs/>
        </w:rPr>
        <w:t>Attendance Policy.</w:t>
      </w:r>
      <w:r>
        <w:t xml:space="preserve"> Expectations for physical or digital presence, including how absences—whether excused or unexcused—may affect the student’s final grade. Attendance policies must reference </w:t>
      </w:r>
      <w:hyperlink r:id="rId29" w:anchor="F62" w:history="1">
        <w:r w:rsidRPr="000D2734">
          <w:rPr>
            <w:rStyle w:val="Hyperlink"/>
          </w:rPr>
          <w:t>University Handbook Section F62</w:t>
        </w:r>
      </w:hyperlink>
      <w:r>
        <w:t xml:space="preserve"> and must accommodate absences for university-sanctioned activities, religious observances, and other absences protected by university policy or applicable law.</w:t>
      </w:r>
    </w:p>
    <w:p w14:paraId="3E1CC9F9" w14:textId="3A00770B" w:rsidR="007A6B1E" w:rsidRDefault="007A6B1E" w:rsidP="007A6B1E">
      <w:pPr>
        <w:spacing w:after="120"/>
      </w:pPr>
      <w:bookmarkStart w:id="25" w:name="OLE_LINK1"/>
      <w:r>
        <w:rPr>
          <w:b/>
          <w:bCs/>
        </w:rPr>
        <w:t>Late Work / Make Up Class Policy.</w:t>
      </w:r>
      <w:r>
        <w:t xml:space="preserve"> A defined policy regarding the acceptance and grading of late submissions, including whether late work is accepted, any grade penalty applied, and any deadlines beyond which work will not be accepted. </w:t>
      </w:r>
      <w:r w:rsidR="008E498F">
        <w:t>Instructors have full discretion in determining the terms of this policy</w:t>
      </w:r>
      <w:r w:rsidR="00583925">
        <w:t xml:space="preserve">, </w:t>
      </w:r>
      <w:r w:rsidR="008E498F">
        <w:t>including whether late work is accepted at all, any penalties assessed, and applicable deadlines</w:t>
      </w:r>
      <w:r w:rsidR="00583925">
        <w:t xml:space="preserve">, </w:t>
      </w:r>
      <w:r w:rsidR="008E498F">
        <w:t>but whatever policy is established must be applied consistently and equitably to all students in the course in accordance with the university's non-discrimination obligations.</w:t>
      </w:r>
    </w:p>
    <w:bookmarkEnd w:id="25"/>
    <w:p w14:paraId="032E57C3" w14:textId="44823DC6" w:rsidR="00AF2361" w:rsidRDefault="005E2780">
      <w:pPr>
        <w:spacing w:after="120"/>
      </w:pPr>
      <w:r>
        <w:rPr>
          <w:b/>
          <w:bCs/>
        </w:rPr>
        <w:t>Artificial Intelligence and Technology Use.</w:t>
      </w:r>
      <w:r>
        <w:t xml:space="preserve"> Explicit guidance on the permissible use of Generative Artificial Intelligence (AI) tools and other external digital resources in completing course assignments. This guidance must specify which tools </w:t>
      </w:r>
      <w:r w:rsidR="00A51DE6">
        <w:t xml:space="preserve">(if any) </w:t>
      </w:r>
      <w:r>
        <w:t>are permitted, under what circumstances, and what constitutes academic misconduct in the context of AI use. This policy must be consistent with the K-State Honor and Integrity System.</w:t>
      </w:r>
    </w:p>
    <w:p w14:paraId="23E9922F" w14:textId="2258299E" w:rsidR="00AF2361" w:rsidRDefault="005E2780">
      <w:pPr>
        <w:spacing w:after="120"/>
      </w:pPr>
      <w:r>
        <w:rPr>
          <w:b/>
          <w:bCs/>
        </w:rPr>
        <w:t>Physical Touch Policy.</w:t>
      </w:r>
      <w:r>
        <w:t xml:space="preserve"> If a course requires physical contact between participants (e.g.,</w:t>
      </w:r>
      <w:r w:rsidR="0052541E">
        <w:t xml:space="preserve"> fitness,</w:t>
      </w:r>
      <w:r>
        <w:t xml:space="preserve"> performing arts, health professions instruction), </w:t>
      </w:r>
      <w:r w:rsidR="00835924">
        <w:t>a</w:t>
      </w:r>
      <w:r>
        <w:t xml:space="preserve"> required physical touch disclosure and consent policy must be included in the syllabus.</w:t>
      </w:r>
    </w:p>
    <w:p w14:paraId="5299CD59" w14:textId="77777777" w:rsidR="00AF2361" w:rsidRDefault="005E2780">
      <w:pPr>
        <w:spacing w:after="120"/>
      </w:pPr>
      <w:r>
        <w:rPr>
          <w:b/>
          <w:bCs/>
        </w:rPr>
        <w:lastRenderedPageBreak/>
        <w:t>Specialty Accreditation Requirements.</w:t>
      </w:r>
      <w:r>
        <w:t xml:space="preserve"> If a course is delivered within a program subject to external specialty accreditation (e.g., AACSB, ABET, ACPE, CAEP, CCNE), any syllabus content requirements imposed by that accrediting body must also be included.</w:t>
      </w:r>
    </w:p>
    <w:p w14:paraId="30E30DE2" w14:textId="4E4EEF32" w:rsidR="00AF2361" w:rsidRDefault="005E2780" w:rsidP="000C5BF6">
      <w:pPr>
        <w:spacing w:after="120"/>
      </w:pPr>
      <w:r>
        <w:rPr>
          <w:b/>
          <w:bCs/>
        </w:rPr>
        <w:t>Instructor-Specific Course Policies.</w:t>
      </w:r>
      <w:r>
        <w:t xml:space="preserve"> Instructors may include additional course-specific policies governing electronic device use, laboratory safety, field experience conduct, or other course-relevant matters. Such policies must be consistent with university policy and applicable law.</w:t>
      </w:r>
    </w:p>
    <w:p w14:paraId="5F52AF83" w14:textId="22343072" w:rsidR="007A6B1E" w:rsidRDefault="0C0CF877" w:rsidP="154F7D33">
      <w:pPr>
        <w:spacing w:before="120" w:after="60" w:line="259" w:lineRule="auto"/>
      </w:pPr>
      <w:r w:rsidRPr="154F7D33">
        <w:rPr>
          <w:b/>
          <w:bCs/>
        </w:rPr>
        <w:t>D</w:t>
      </w:r>
      <w:r w:rsidR="007A6B1E">
        <w:rPr>
          <w:b/>
          <w:bCs/>
        </w:rPr>
        <w:t>. Course Schedule of Activities</w:t>
      </w:r>
    </w:p>
    <w:p w14:paraId="7A9997F4" w14:textId="00AB7E67" w:rsidR="00CE5BD5" w:rsidRDefault="007A6B1E" w:rsidP="007A6B1E">
      <w:pPr>
        <w:spacing w:after="120"/>
      </w:pPr>
      <w:r>
        <w:t xml:space="preserve">Every syllabus must </w:t>
      </w:r>
      <w:r w:rsidR="004A506C">
        <w:t xml:space="preserve">provide students with a general course roadmap that communicates the anticipated structure, major topics, and expected pacing of the course in a manner appropriate to the instructional format and discipline. </w:t>
      </w:r>
      <w:r w:rsidR="00D578E9">
        <w:t xml:space="preserve">The level of specificity may vary by discipline, course type, instructional modality, and pedagogical approach. The schedule helps communicate anticipated course organization and </w:t>
      </w:r>
      <w:r w:rsidR="005D6CD1">
        <w:t>student expectations. Further, it supports credit hour documentation consistent with</w:t>
      </w:r>
      <w:r w:rsidR="00C816BE">
        <w:t xml:space="preserve"> 34 CFR § 600.2 and HLC Criterion 3</w:t>
      </w:r>
      <w:r w:rsidR="00CE5BD5">
        <w:t xml:space="preserve">. </w:t>
      </w:r>
      <w:r w:rsidR="00D578E9">
        <w:t xml:space="preserve"> </w:t>
      </w:r>
    </w:p>
    <w:p w14:paraId="02240AD6" w14:textId="7015CEE9" w:rsidR="007A6B1E" w:rsidRDefault="00CE5BD5" w:rsidP="007A6B1E">
      <w:pPr>
        <w:spacing w:after="120"/>
      </w:pPr>
      <w:r>
        <w:t xml:space="preserve">Different instructors teaching the same course may appropriately use different instructional approaches, assignments, readings, pacing strategies, examples, and pedagogical methods while still supporting </w:t>
      </w:r>
      <w:r w:rsidR="004E3496">
        <w:t xml:space="preserve">shared curricular goals and learning outcomes. </w:t>
      </w:r>
    </w:p>
    <w:p w14:paraId="3BC069D7" w14:textId="03016360" w:rsidR="007A6B1E" w:rsidRDefault="007A6B1E" w:rsidP="007A6B1E">
      <w:pPr>
        <w:spacing w:after="120"/>
      </w:pPr>
      <w:r>
        <w:rPr>
          <w:b/>
          <w:bCs/>
        </w:rPr>
        <w:t>Required Schedule Elements.</w:t>
      </w:r>
      <w:r>
        <w:t xml:space="preserve"> At a minimum, the course schedule must include the following for each week or instructional unit of the course</w:t>
      </w:r>
      <w:r w:rsidR="00696A74">
        <w:t xml:space="preserve">. Instructors </w:t>
      </w:r>
      <w:r w:rsidR="00703D93">
        <w:t>are encouraged, where practicable, to include projected schedules, readings, and assignment timelines. The level of specificity may vary by discipline, instructional modality, course type, and pedagogical approach.</w:t>
      </w:r>
    </w:p>
    <w:p w14:paraId="5FA93C7D" w14:textId="77777777" w:rsidR="007A6B1E" w:rsidRDefault="007A6B1E" w:rsidP="007A6B1E">
      <w:pPr>
        <w:numPr>
          <w:ilvl w:val="0"/>
          <w:numId w:val="5"/>
        </w:numPr>
        <w:spacing w:after="60"/>
      </w:pPr>
      <w:r>
        <w:rPr>
          <w:b/>
          <w:bCs/>
        </w:rPr>
        <w:t>Week or date range</w:t>
      </w:r>
      <w:r>
        <w:t xml:space="preserve"> – the week number, specific dates, or instructional unit covered;</w:t>
      </w:r>
    </w:p>
    <w:p w14:paraId="7A828104" w14:textId="77777777" w:rsidR="007A6B1E" w:rsidRDefault="007A6B1E" w:rsidP="007A6B1E">
      <w:pPr>
        <w:numPr>
          <w:ilvl w:val="0"/>
          <w:numId w:val="5"/>
        </w:numPr>
        <w:spacing w:after="60"/>
      </w:pPr>
      <w:r>
        <w:rPr>
          <w:b/>
          <w:bCs/>
        </w:rPr>
        <w:t>Topics or course content</w:t>
      </w:r>
      <w:r>
        <w:t xml:space="preserve"> – the subject matter, themes, or learning modules to be addressed;</w:t>
      </w:r>
    </w:p>
    <w:p w14:paraId="3B5E89C4" w14:textId="6450018F" w:rsidR="007A6B1E" w:rsidRDefault="39F6C917" w:rsidP="007A6B1E">
      <w:pPr>
        <w:numPr>
          <w:ilvl w:val="0"/>
          <w:numId w:val="5"/>
        </w:numPr>
        <w:spacing w:after="60"/>
      </w:pPr>
      <w:r w:rsidRPr="052E8610">
        <w:rPr>
          <w:b/>
          <w:bCs/>
        </w:rPr>
        <w:t xml:space="preserve">Due dates for major </w:t>
      </w:r>
      <w:r w:rsidR="00AC1610">
        <w:rPr>
          <w:b/>
          <w:bCs/>
        </w:rPr>
        <w:t>graded components</w:t>
      </w:r>
      <w:r>
        <w:t xml:space="preserve"> – </w:t>
      </w:r>
      <w:r w:rsidR="00AC1610">
        <w:t xml:space="preserve">anticipated dates for exams, major assignments, and projects that substantially contribute to the final course grade. Minor assignments, formative assessments, participation activities, quizzes, and adaptive instructional activities are not required to be listed in the syllabus but should be described generally in the grading criteria section.  </w:t>
      </w:r>
    </w:p>
    <w:p w14:paraId="7505B8C5" w14:textId="17ACFE7C" w:rsidR="00B655B7" w:rsidRDefault="00B655B7">
      <w:pPr>
        <w:spacing w:after="120"/>
      </w:pPr>
      <w:r>
        <w:rPr>
          <w:b/>
          <w:bCs/>
        </w:rPr>
        <w:t>Schedule Changes.</w:t>
      </w:r>
      <w:r>
        <w:t xml:space="preserve"> The course schedule is a planning document and may be adjusted as the term progresses.</w:t>
      </w:r>
      <w:r w:rsidR="005D4383">
        <w:t xml:space="preserve"> Course schedules, readings, instructional activities, and assignments may evolve during the semester in response to student learning needs, student progress, disciplinary developments, weather disruptions, current events, or other pedagogically appropriate considerations. Reasonable instructional adjustments are a normal component of effective teaching and do not require formal syllabus revision. For purposes of this policy, substantive changes are significant modifications affecting grading structures, major assignment</w:t>
      </w:r>
      <w:r w:rsidR="001F70BE">
        <w:t>s</w:t>
      </w:r>
      <w:r w:rsidR="005D4383">
        <w:t xml:space="preserve">, </w:t>
      </w:r>
      <w:r w:rsidR="001F70BE">
        <w:t xml:space="preserve">exam date changes, </w:t>
      </w:r>
      <w:r w:rsidR="005D4383">
        <w:t xml:space="preserve">the overall attendance policy, or core course expectations communicated at the outset of the term. Routine instructional adjustments—including updated readings, revised discussion topics, pacing changes, individual due date extensions, and minor scheduling modifications—do not constitute substantive changes and do not require a formal addendum. When substantive changes are made, the Instructor should communicate the update to students in writing as soon as practicable through Canvas or official K-State email. </w:t>
      </w:r>
      <w:r>
        <w:t xml:space="preserve"> </w:t>
      </w:r>
      <w:r w:rsidR="00DE4A49">
        <w:t xml:space="preserve">The official </w:t>
      </w:r>
      <w:r w:rsidR="00300B93">
        <w:t>syllabus</w:t>
      </w:r>
      <w:r w:rsidR="00DE4A49">
        <w:t xml:space="preserve"> serves as the foundational </w:t>
      </w:r>
      <w:r w:rsidR="00305F2C">
        <w:t xml:space="preserve">course overview. Instructors may use Canvas or other approved university systems </w:t>
      </w:r>
      <w:r w:rsidR="00F95B30">
        <w:t xml:space="preserve">to communicate evolving schedules, supplemental readings, assignment details, and instructional updates throughout the semester. </w:t>
      </w:r>
    </w:p>
    <w:p w14:paraId="119857C5" w14:textId="273C51B5" w:rsidR="00AF2361" w:rsidRDefault="0B68FCA9">
      <w:pPr>
        <w:spacing w:before="120" w:after="60"/>
        <w:rPr>
          <w:b/>
        </w:rPr>
      </w:pPr>
      <w:r w:rsidRPr="154F7D33">
        <w:rPr>
          <w:b/>
          <w:bCs/>
        </w:rPr>
        <w:t>E</w:t>
      </w:r>
      <w:r w:rsidR="005E2780">
        <w:rPr>
          <w:b/>
          <w:bCs/>
        </w:rPr>
        <w:t>. Mandatory University Statements</w:t>
      </w:r>
    </w:p>
    <w:p w14:paraId="1C6BCAAE" w14:textId="4C4EFBA9" w:rsidR="00AF2361" w:rsidRDefault="005E2780">
      <w:pPr>
        <w:spacing w:after="120"/>
      </w:pPr>
      <w:r>
        <w:lastRenderedPageBreak/>
        <w:t xml:space="preserve">The following statements must be included in every course syllabus verbatim or </w:t>
      </w:r>
      <w:r w:rsidRPr="00A27A41">
        <w:t>through a direct, accessible link to the Provost’s Office Official Syllabi Statements page. The Office of the Provost maintains and updates these statements and will communicate changes to faculty. Instructors must use the current version of each statement as posted on the Provost’s webpage:</w:t>
      </w:r>
    </w:p>
    <w:p w14:paraId="6E4B2BD5" w14:textId="63200456" w:rsidR="00AF2361" w:rsidRDefault="005E2780">
      <w:pPr>
        <w:spacing w:after="120"/>
      </w:pPr>
      <w:r>
        <w:rPr>
          <w:b/>
          <w:bCs/>
        </w:rPr>
        <w:t>Academic Honesty.</w:t>
      </w:r>
      <w:r>
        <w:t xml:space="preserve"> Reference to the K-State Honor and Integrity System and inclusion of the Honor Pledge: “On my honor, as a student, I have neither given nor received unauthorized aid on this academic work.”</w:t>
      </w:r>
      <w:r w:rsidR="00FF4D27">
        <w:t xml:space="preserve"> Instructors may supplement this required statement with additional course-specific academic honesty policies, such as expectations regarding the use of artificial intelligence tools, collaboration between students, or discipline-specific standards of academic conduct.</w:t>
      </w:r>
    </w:p>
    <w:p w14:paraId="54DD742D" w14:textId="77777777" w:rsidR="00AF2361" w:rsidRDefault="005E2780">
      <w:pPr>
        <w:spacing w:after="120"/>
      </w:pPr>
      <w:r>
        <w:rPr>
          <w:b/>
          <w:bCs/>
        </w:rPr>
        <w:t>Students with Disabilities.</w:t>
      </w:r>
      <w:r>
        <w:t xml:space="preserve"> Information regarding the Student Access Center (SAC) and the process for requesting academic accommodations. This statement supports K-State’s obligations under the Americans with Disabilities Act (ADA), Section 504 of the Rehabilitation Act, and KBOR accessibility requirements.</w:t>
      </w:r>
    </w:p>
    <w:p w14:paraId="7F7542DA" w14:textId="77777777" w:rsidR="005548E1" w:rsidRDefault="005548E1" w:rsidP="005548E1">
      <w:pPr>
        <w:spacing w:after="120"/>
      </w:pPr>
      <w:r>
        <w:rPr>
          <w:b/>
          <w:bCs/>
        </w:rPr>
        <w:t>Classroom Conduct.</w:t>
      </w:r>
      <w:r>
        <w:t xml:space="preserve"> Expectations for student behavior as governed by the K-State Student Governing Association and the Student Judicial Conduct Code.</w:t>
      </w:r>
    </w:p>
    <w:p w14:paraId="4EBECE78" w14:textId="77777777" w:rsidR="00AF2361" w:rsidRDefault="005E2780">
      <w:pPr>
        <w:spacing w:after="120"/>
      </w:pPr>
      <w:r>
        <w:rPr>
          <w:b/>
          <w:bCs/>
        </w:rPr>
        <w:t>Mutual Respect and Inclusion.</w:t>
      </w:r>
      <w:r>
        <w:t xml:space="preserve"> A statement affirming the university’s commitment to a culture of dignity and respect in all learning environments, consistent with the university’s Equal Opportunity, Affirmative Action, and Non-Discrimination policies.</w:t>
      </w:r>
    </w:p>
    <w:p w14:paraId="0903AF8F" w14:textId="0526DC70" w:rsidR="00AF2361" w:rsidRDefault="005E2780">
      <w:pPr>
        <w:spacing w:after="120"/>
      </w:pPr>
      <w:r w:rsidRPr="6C8C9345">
        <w:rPr>
          <w:b/>
          <w:bCs/>
        </w:rPr>
        <w:t>Discriminatio</w:t>
      </w:r>
      <w:r w:rsidR="005548E1" w:rsidRPr="6C8C9345">
        <w:rPr>
          <w:b/>
          <w:bCs/>
        </w:rPr>
        <w:t>n, Harassment, and Sexual Harassment</w:t>
      </w:r>
      <w:r w:rsidRPr="6C8C9345">
        <w:rPr>
          <w:b/>
          <w:bCs/>
        </w:rPr>
        <w:t>.</w:t>
      </w:r>
      <w:r>
        <w:t xml:space="preserve"> Guidance on reporting obligations and available resources through the </w:t>
      </w:r>
      <w:hyperlink r:id="rId30" w:history="1">
        <w:r w:rsidRPr="007B6F19">
          <w:rPr>
            <w:rStyle w:val="Hyperlink"/>
          </w:rPr>
          <w:t xml:space="preserve">Office of </w:t>
        </w:r>
        <w:r w:rsidR="00FE7997" w:rsidRPr="007B6F19">
          <w:rPr>
            <w:rStyle w:val="Hyperlink"/>
          </w:rPr>
          <w:t>Civil Rights and Title IX</w:t>
        </w:r>
      </w:hyperlink>
      <w:r>
        <w:t>. Instructors who are designated Responsible Employees under Title IX must include a statement clarifying their mandatory reporting obligations.</w:t>
      </w:r>
    </w:p>
    <w:p w14:paraId="6338DA03" w14:textId="77777777" w:rsidR="00AF2361" w:rsidRDefault="005E2780">
      <w:pPr>
        <w:spacing w:after="120"/>
      </w:pPr>
      <w:r>
        <w:rPr>
          <w:b/>
          <w:bCs/>
        </w:rPr>
        <w:t>Campus Safety and Emergency Procedures.</w:t>
      </w:r>
      <w:r>
        <w:t xml:space="preserve"> Information regarding emergency notification systems, evacuation procedures, and the university’s concealed carry policy, as required by university policy and Kansas state law.</w:t>
      </w:r>
    </w:p>
    <w:p w14:paraId="703B329C" w14:textId="13044152" w:rsidR="00AF2361" w:rsidRDefault="005E2780" w:rsidP="006C757D">
      <w:pPr>
        <w:spacing w:after="120"/>
      </w:pPr>
      <w:r>
        <w:t xml:space="preserve">Additional required statements may be added by the Office of the Provost in response to evolving legal, accreditation, or university policy requirements. The current, complete list of required statements is maintained at the </w:t>
      </w:r>
      <w:hyperlink r:id="rId31" w:history="1">
        <w:r w:rsidR="00AF2361" w:rsidRPr="005548E1">
          <w:rPr>
            <w:rStyle w:val="Hyperlink"/>
          </w:rPr>
          <w:t>Provost’s Office Official Syllabi Statements page</w:t>
        </w:r>
      </w:hyperlink>
      <w:r>
        <w:t>.</w:t>
      </w:r>
    </w:p>
    <w:p w14:paraId="4661491C" w14:textId="3C87BB6C" w:rsidR="00A0067B" w:rsidRDefault="00A0067B" w:rsidP="00A0067B">
      <w:pPr>
        <w:pStyle w:val="Heading2"/>
        <w:pBdr>
          <w:bottom w:val="single" w:sz="4" w:space="4" w:color="auto"/>
        </w:pBdr>
      </w:pPr>
      <w:bookmarkStart w:id="26" w:name="_.060_Digital_Accessibility"/>
      <w:bookmarkStart w:id="27" w:name="_Toc226371368"/>
      <w:bookmarkEnd w:id="26"/>
      <w:r>
        <w:t>26.</w:t>
      </w:r>
      <w:r w:rsidR="00B0187F">
        <w:t>2</w:t>
      </w:r>
      <w:r>
        <w:t xml:space="preserve"> Zero</w:t>
      </w:r>
      <w:r w:rsidR="002B2B9F">
        <w:t xml:space="preserve"> C</w:t>
      </w:r>
      <w:r>
        <w:t xml:space="preserve">redit </w:t>
      </w:r>
      <w:r w:rsidR="002B2B9F">
        <w:t>H</w:t>
      </w:r>
      <w:r>
        <w:t xml:space="preserve">our </w:t>
      </w:r>
      <w:r w:rsidR="002B2B9F">
        <w:t>Courses</w:t>
      </w:r>
    </w:p>
    <w:p w14:paraId="03C7D483" w14:textId="32E9E530" w:rsidR="00FA6E74" w:rsidRDefault="00FA6E74" w:rsidP="00E14765">
      <w:r>
        <w:t>Zero credit hour courses required for degree completion are subject to the same institutional, accreditation, and regulatory obligations as credit-bearing courses with respect to communicating expectations, documenting student learning outcomes, and assessing student performance. While these courses do not generate credit hours under the federal definition at 34 CFR § 600.2, they remain subject to HLC requirements governing learning outcomes and assessment (Criteria 3 and 4</w:t>
      </w:r>
      <w:r w:rsidR="00322A53">
        <w:t>; Assumed Practices</w:t>
      </w:r>
      <w:r>
        <w:t xml:space="preserve">) and must meet all applicable University Handbook standards. </w:t>
      </w:r>
    </w:p>
    <w:p w14:paraId="6F2EA353" w14:textId="77777777" w:rsidR="00FA6E74" w:rsidRDefault="00FA6E74" w:rsidP="00E14765"/>
    <w:p w14:paraId="1A54BC90" w14:textId="2430620F" w:rsidR="00C276D7" w:rsidRDefault="00FA6E74" w:rsidP="00E14765">
      <w:r>
        <w:t>In recognition of their distinct structure, syllabi for zero credit hour courses must include the following minimum elements:</w:t>
      </w:r>
    </w:p>
    <w:p w14:paraId="5F5B46CE" w14:textId="77777777" w:rsidR="00E14765" w:rsidRDefault="00E14765" w:rsidP="00E14765">
      <w:r>
        <w:rPr>
          <w:rStyle w:val="Strong"/>
        </w:rPr>
        <w:t>Basic Course Details.</w:t>
      </w:r>
      <w:r>
        <w:t xml:space="preserve"> Course title, prefix, number, section, meeting format, and term.</w:t>
      </w:r>
    </w:p>
    <w:p w14:paraId="6995710E" w14:textId="77777777" w:rsidR="00322A53" w:rsidRDefault="00322A53" w:rsidP="00E14765"/>
    <w:p w14:paraId="4BB83476" w14:textId="77777777" w:rsidR="00E14765" w:rsidRDefault="00E14765" w:rsidP="00E14765">
      <w:r>
        <w:rPr>
          <w:rStyle w:val="Strong"/>
        </w:rPr>
        <w:t>Instructor Information.</w:t>
      </w:r>
      <w:r>
        <w:t xml:space="preserve"> Instructor name, K-State email address, and office hours or availability, consistent with University Handbook Section D12.</w:t>
      </w:r>
    </w:p>
    <w:p w14:paraId="3449965F" w14:textId="77777777" w:rsidR="00322A53" w:rsidRDefault="00322A53" w:rsidP="00E14765"/>
    <w:p w14:paraId="74C174B8" w14:textId="2199F1F5" w:rsidR="00E14765" w:rsidRDefault="00E14765" w:rsidP="00E14765">
      <w:r>
        <w:rPr>
          <w:rStyle w:val="Strong"/>
        </w:rPr>
        <w:t>Course Description.</w:t>
      </w:r>
      <w:r>
        <w:t xml:space="preserve"> </w:t>
      </w:r>
      <w:r w:rsidR="001B1241">
        <w:t>The official course description as it appears in the Kansas State University Catalog.</w:t>
      </w:r>
    </w:p>
    <w:p w14:paraId="59587487" w14:textId="77777777" w:rsidR="001A415B" w:rsidRDefault="001A415B" w:rsidP="00E14765"/>
    <w:p w14:paraId="3CA7BF97" w14:textId="77C378F2" w:rsidR="00E14765" w:rsidRDefault="00E14765" w:rsidP="00E14765">
      <w:r>
        <w:rPr>
          <w:rStyle w:val="Strong"/>
        </w:rPr>
        <w:t>Student Learning Outcomes.</w:t>
      </w:r>
      <w:r>
        <w:t xml:space="preserve"> Clearly stated, measurable outcomes describing what students will know, value, or be able to do upon successful completion. </w:t>
      </w:r>
      <w:r w:rsidR="00705F97">
        <w:t>For courses required within a degree or certificate program,</w:t>
      </w:r>
      <w:r>
        <w:t xml:space="preserve"> </w:t>
      </w:r>
      <w:commentRangeStart w:id="28"/>
      <w:commentRangeStart w:id="29"/>
      <w:r>
        <w:t xml:space="preserve">SLOs must align with </w:t>
      </w:r>
      <w:r w:rsidR="00705F97">
        <w:t xml:space="preserve">the relevant </w:t>
      </w:r>
      <w:r>
        <w:t>program-level outcomes</w:t>
      </w:r>
      <w:commentRangeEnd w:id="28"/>
      <w:r>
        <w:rPr>
          <w:rStyle w:val="CommentReference"/>
          <w:sz w:val="22"/>
          <w:szCs w:val="22"/>
        </w:rPr>
        <w:commentReference w:id="28"/>
      </w:r>
      <w:commentRangeEnd w:id="29"/>
      <w:r w:rsidR="005D17D0">
        <w:rPr>
          <w:rStyle w:val="CommentReference"/>
          <w:sz w:val="22"/>
          <w:szCs w:val="22"/>
        </w:rPr>
        <w:commentReference w:id="29"/>
      </w:r>
      <w:r>
        <w:t xml:space="preserve"> as required under HLC Criterion 4.B.</w:t>
      </w:r>
    </w:p>
    <w:p w14:paraId="6AD88982" w14:textId="77777777" w:rsidR="005E1EA6" w:rsidRDefault="005E1EA6" w:rsidP="00E14765">
      <w:pPr>
        <w:rPr>
          <w:rStyle w:val="Strong"/>
        </w:rPr>
      </w:pPr>
    </w:p>
    <w:p w14:paraId="0A6DCA5E" w14:textId="77777777" w:rsidR="00E14765" w:rsidRDefault="00E14765" w:rsidP="00E14765">
      <w:r>
        <w:rPr>
          <w:rStyle w:val="Strong"/>
        </w:rPr>
        <w:t>Completion Requirements.</w:t>
      </w:r>
      <w:r>
        <w:t xml:space="preserve"> A clear explanation of what students must do to satisfy the course requirement, including any attendance, participation, or assignment expectations, and the basis on which CR/NC or Pass/Fail is determined.</w:t>
      </w:r>
    </w:p>
    <w:p w14:paraId="603EFC64" w14:textId="77777777" w:rsidR="001A415B" w:rsidRDefault="001A415B" w:rsidP="00E14765"/>
    <w:p w14:paraId="30F928B4" w14:textId="77777777" w:rsidR="00E14765" w:rsidRDefault="00E14765" w:rsidP="00E14765">
      <w:r>
        <w:rPr>
          <w:rStyle w:val="Strong"/>
        </w:rPr>
        <w:t>Mandatory University Statements.</w:t>
      </w:r>
      <w:r>
        <w:t xml:space="preserve"> All required statements as maintained on the Provost's Office Official Syllabi Statements page apply equally to zero credit hour courses.</w:t>
      </w:r>
    </w:p>
    <w:p w14:paraId="2890719F" w14:textId="77777777" w:rsidR="00C37E7B" w:rsidRDefault="00C37E7B" w:rsidP="00E14765"/>
    <w:p w14:paraId="619B4FD7" w14:textId="29046481" w:rsidR="00E14765" w:rsidRDefault="00E14765" w:rsidP="00E14765">
      <w:r>
        <w:t>The remaining elements required under Section 26.1 — including the full grading scale, course schedule of activities, and proctored examination disclosures — are not required for zero credit hour courses unless the nature of the course makes them applicable.</w:t>
      </w:r>
    </w:p>
    <w:p w14:paraId="1723758C" w14:textId="77777777" w:rsidR="00A0067B" w:rsidRDefault="00A0067B" w:rsidP="00E14765"/>
    <w:p w14:paraId="2A118E9F" w14:textId="02E395FA" w:rsidR="00AF2361" w:rsidRDefault="00B63260">
      <w:pPr>
        <w:pStyle w:val="Heading2"/>
      </w:pPr>
      <w:r>
        <w:t>26.</w:t>
      </w:r>
      <w:r w:rsidR="00B0187F">
        <w:t>3</w:t>
      </w:r>
      <w:r w:rsidR="005E2780">
        <w:t xml:space="preserve"> Digital Accessibility Requirements</w:t>
      </w:r>
      <w:bookmarkEnd w:id="27"/>
    </w:p>
    <w:p w14:paraId="2EE02BBF" w14:textId="58E65B5A" w:rsidR="00036BCE" w:rsidRDefault="00036BCE" w:rsidP="00036BCE">
      <w:pPr>
        <w:spacing w:after="120"/>
      </w:pPr>
      <w:r>
        <w:t>Electronically distributed syllabi are subject to K-State’s university-wide digital accessibility standards, which require conformance with WCAG 2.1 Level AA consistent with the ADA Title II Final Rule (effective April 24, 2027). The specific technical requirements are governed by the university’s Digital Accessibility Policy and supporting guidance maintained by the Office of Academic Affairs and Innovation. Instructors should consult that policy and the accessible syllabus templates available through Coursedog and the Provost’s Office for compliance guidance. This section does not impose obligations beyond those that apply to all university electronic documents under the Digital Accessibility Policy.</w:t>
      </w:r>
    </w:p>
    <w:p w14:paraId="58058527" w14:textId="77777777" w:rsidR="00AF2361" w:rsidRDefault="005E2780">
      <w:pPr>
        <w:spacing w:after="120"/>
      </w:pPr>
      <w:r>
        <w:t>All syllabi submitted to Coursedog, posted in Canvas or other course management systems, or otherwise distributed digitally must conform to WCAG 2.1 Level AA standards. The four foundational principles of WCAG 2.1—Perceivable, Operable, Understandable, and Robust (POUR)—apply to all electronic documents.</w:t>
      </w:r>
    </w:p>
    <w:p w14:paraId="66D20601" w14:textId="77777777" w:rsidR="00AF2361" w:rsidRDefault="005E2780">
      <w:pPr>
        <w:spacing w:before="120" w:after="60"/>
      </w:pPr>
      <w:r>
        <w:rPr>
          <w:b/>
          <w:bCs/>
        </w:rPr>
        <w:t>Required Accessibility Practices for Syllabi</w:t>
      </w:r>
    </w:p>
    <w:p w14:paraId="223D303A" w14:textId="77777777" w:rsidR="00AF2361" w:rsidRDefault="005E2780">
      <w:pPr>
        <w:spacing w:after="120"/>
      </w:pPr>
      <w:r>
        <w:rPr>
          <w:b/>
          <w:bCs/>
        </w:rPr>
        <w:t>Document Structure.</w:t>
      </w:r>
      <w:r>
        <w:t xml:space="preserve"> Syllabi must use proper semantic heading structure (e.g., Heading 1, Heading 2) to support navigation by assistive technologies. Headings must reflect logical document hierarchy and must not be simulated through bold or enlarged text alone.</w:t>
      </w:r>
    </w:p>
    <w:p w14:paraId="206FEF13" w14:textId="77777777" w:rsidR="00AF2361" w:rsidRDefault="005E2780">
      <w:pPr>
        <w:spacing w:after="120"/>
      </w:pPr>
      <w:r>
        <w:rPr>
          <w:b/>
          <w:bCs/>
        </w:rPr>
        <w:t>Accessible File Formats.</w:t>
      </w:r>
      <w:r>
        <w:t xml:space="preserve"> Syllabi distributed as PDF files must be properly tagged with structural tags (headings, lists, paragraphs, tables) to enable screen reader navigation. Image-only or scanned PDFs are not accessible and are prohibited as the primary distributed format. Microsoft Word documents with proper heading styles, list formatting, and alt text satisfy accessibility requirements and are an acceptable format.</w:t>
      </w:r>
    </w:p>
    <w:p w14:paraId="013362C1" w14:textId="77777777" w:rsidR="00AF2361" w:rsidRDefault="005E2780">
      <w:pPr>
        <w:spacing w:after="120"/>
      </w:pPr>
      <w:r>
        <w:rPr>
          <w:b/>
          <w:bCs/>
        </w:rPr>
        <w:t>Color and Contrast.</w:t>
      </w:r>
      <w:r>
        <w:t xml:space="preserve"> Text must meet a minimum contrast ratio of 4.5:1 against its background for normal-sized text, and 3:1 for large text (18pt regular or 14pt bold). Color must not be used as the sole means of conveying information (e.g., grading policies must not rely on red/green text alone).</w:t>
      </w:r>
    </w:p>
    <w:p w14:paraId="2B603818" w14:textId="77777777" w:rsidR="00AF2361" w:rsidRDefault="005E2780">
      <w:pPr>
        <w:spacing w:after="120"/>
      </w:pPr>
      <w:r>
        <w:rPr>
          <w:b/>
          <w:bCs/>
        </w:rPr>
        <w:t>Alternative Text for Images.</w:t>
      </w:r>
      <w:r>
        <w:t xml:space="preserve"> Any image, chart, graph, or non-text element included in a syllabus must include meaningful alternative text describing the content or function of the image. Decorative images must be marked as such.</w:t>
      </w:r>
    </w:p>
    <w:p w14:paraId="2554AA1E" w14:textId="4658D242" w:rsidR="00AF2361" w:rsidRDefault="005E2780">
      <w:pPr>
        <w:spacing w:after="120"/>
      </w:pPr>
      <w:r>
        <w:rPr>
          <w:b/>
          <w:bCs/>
        </w:rPr>
        <w:lastRenderedPageBreak/>
        <w:t>Hyperlinks.</w:t>
      </w:r>
      <w:r>
        <w:t xml:space="preserve"> All hyperlinks must use descriptive link text that conveys the purpose of the link when read out of context. Generic phrases such as “click here” or “learn more” do not satisfy this requirement.</w:t>
      </w:r>
      <w:r w:rsidR="006617DC">
        <w:t xml:space="preserve"> For example, rather than writing </w:t>
      </w:r>
      <w:r w:rsidR="006617DC">
        <w:rPr>
          <w:rStyle w:val="Emphasis"/>
        </w:rPr>
        <w:t>"For the university's academic honesty policy, click here,"</w:t>
      </w:r>
      <w:r w:rsidR="006617DC">
        <w:t xml:space="preserve"> the link text itself should be descriptive: </w:t>
      </w:r>
      <w:r w:rsidR="006617DC">
        <w:rPr>
          <w:rStyle w:val="Emphasis"/>
        </w:rPr>
        <w:t>"Review the K-State Honor and Integrity System policy."</w:t>
      </w:r>
    </w:p>
    <w:p w14:paraId="3C0F051F" w14:textId="77777777" w:rsidR="00AF2361" w:rsidRDefault="005E2780">
      <w:pPr>
        <w:spacing w:after="120"/>
      </w:pPr>
      <w:r>
        <w:rPr>
          <w:b/>
          <w:bCs/>
        </w:rPr>
        <w:t>Tables.</w:t>
      </w:r>
      <w:r>
        <w:t xml:space="preserve"> Data tables must use proper header rows and column structure to convey relationships between data. Tables must not be used for visual layout purposes.</w:t>
      </w:r>
    </w:p>
    <w:p w14:paraId="0216BEDB" w14:textId="77777777" w:rsidR="00AF2361" w:rsidRDefault="005E2780">
      <w:pPr>
        <w:spacing w:before="120" w:after="60"/>
      </w:pPr>
      <w:r>
        <w:rPr>
          <w:b/>
          <w:bCs/>
        </w:rPr>
        <w:t>Support Resources</w:t>
      </w:r>
    </w:p>
    <w:p w14:paraId="696BACFD" w14:textId="5D802A38" w:rsidR="00AF2361" w:rsidRDefault="005E2780" w:rsidP="005B68E0">
      <w:pPr>
        <w:spacing w:after="120"/>
      </w:pPr>
      <w:r>
        <w:t xml:space="preserve">The Office of </w:t>
      </w:r>
      <w:r w:rsidR="00A0614D">
        <w:t>Academic Affairs and Innovation</w:t>
      </w:r>
      <w:r>
        <w:t xml:space="preserve"> provide</w:t>
      </w:r>
      <w:r w:rsidR="00A0614D">
        <w:t>s</w:t>
      </w:r>
      <w:r>
        <w:t xml:space="preserve"> accessibility review tools, templates, and consultation services to assist instructors in creating conforming documents. Provost’s Office </w:t>
      </w:r>
      <w:hyperlink r:id="rId32" w:history="1">
        <w:r w:rsidR="00AF2361" w:rsidRPr="00A0614D">
          <w:rPr>
            <w:rStyle w:val="Hyperlink"/>
          </w:rPr>
          <w:t>Accessibility Guidance page</w:t>
        </w:r>
      </w:hyperlink>
      <w:r>
        <w:t xml:space="preserve"> </w:t>
      </w:r>
      <w:r w:rsidR="00A0614D">
        <w:t>is</w:t>
      </w:r>
      <w:r>
        <w:t xml:space="preserve"> available to all faculty. Accessible syllabus templates will be maintained and made available through Coursedog and the Provost’s Office.</w:t>
      </w:r>
    </w:p>
    <w:p w14:paraId="63A9903F" w14:textId="63D3ED8F" w:rsidR="00AF2361" w:rsidRDefault="00C7768A">
      <w:pPr>
        <w:pStyle w:val="Heading2"/>
      </w:pPr>
      <w:bookmarkStart w:id="30" w:name="_Toc226371369"/>
      <w:r>
        <w:t>26.</w:t>
      </w:r>
      <w:r w:rsidR="00B0187F">
        <w:t>4</w:t>
      </w:r>
      <w:r w:rsidR="00A0614D">
        <w:t xml:space="preserve"> Roles and Responsibilities</w:t>
      </w:r>
      <w:bookmarkEnd w:id="30"/>
    </w:p>
    <w:p w14:paraId="7B0FADE7" w14:textId="77777777" w:rsidR="00AF2361" w:rsidRDefault="005E2780">
      <w:pPr>
        <w:spacing w:before="120" w:after="60"/>
        <w:rPr>
          <w:b/>
        </w:rPr>
      </w:pPr>
      <w:r>
        <w:rPr>
          <w:b/>
          <w:bCs/>
        </w:rPr>
        <w:t>Instructor (Primary Instructor of Record)</w:t>
      </w:r>
    </w:p>
    <w:p w14:paraId="238F8223" w14:textId="77777777" w:rsidR="00AF2361" w:rsidRDefault="005E2780">
      <w:pPr>
        <w:spacing w:after="120"/>
      </w:pPr>
      <w:r>
        <w:t>The Instructor is responsible for preparing a complete and accurate course syllabus that meets all requirements of this policy; distributing the syllabus to all enrolled students by the end of the first class session; submitting the final syllabus to the Coursedog repository by the applicable deadline; ensuring the syllabus is in an accessible format conforming to WCAG 2.1 Level AA; and communicating any substantive mid-semester revisions to students in writing with a dated addendum.</w:t>
      </w:r>
    </w:p>
    <w:p w14:paraId="53803EEC" w14:textId="77777777" w:rsidR="00AF2361" w:rsidRDefault="005E2780">
      <w:pPr>
        <w:spacing w:before="120" w:after="60"/>
      </w:pPr>
      <w:r>
        <w:rPr>
          <w:b/>
          <w:bCs/>
        </w:rPr>
        <w:t>Department Head / School Director</w:t>
      </w:r>
    </w:p>
    <w:p w14:paraId="79FAC523" w14:textId="2789B5EB" w:rsidR="00AF2361" w:rsidRDefault="005E2780">
      <w:pPr>
        <w:spacing w:after="120"/>
      </w:pPr>
      <w:r>
        <w:t>The Department Head or School Director is responsible for ensuring that all Instructors within the department are aware of and comply with this policy; reviewing syllabi for assigned courses to confirm credit hour workload documentation meets federal standards (</w:t>
      </w:r>
      <w:hyperlink r:id="rId33" w:history="1">
        <w:r w:rsidRPr="00A278AD">
          <w:rPr>
            <w:rStyle w:val="Hyperlink"/>
          </w:rPr>
          <w:t>34 CFR § 600.2</w:t>
        </w:r>
      </w:hyperlink>
      <w:r>
        <w:t>); ensuring that syllabi for courses in the KBOR transfer framework include system-wide student learning outcomes; and supporting Instructors in accessing accessible syllabus templates and resources.</w:t>
      </w:r>
    </w:p>
    <w:p w14:paraId="2469D504" w14:textId="77777777" w:rsidR="00AF2361" w:rsidRDefault="005E2780">
      <w:pPr>
        <w:spacing w:before="120" w:after="60"/>
      </w:pPr>
      <w:r>
        <w:rPr>
          <w:b/>
          <w:bCs/>
        </w:rPr>
        <w:t>Dean</w:t>
      </w:r>
    </w:p>
    <w:p w14:paraId="0B1DB354" w14:textId="77777777" w:rsidR="00AF2361" w:rsidRDefault="005E2780">
      <w:pPr>
        <w:spacing w:after="120"/>
      </w:pPr>
      <w:r>
        <w:t>The Dean is responsible for monitoring college-level compliance with this policy; ensuring that syllabi submitted to Coursedog are reviewed as part of ongoing program assessment and accreditation preparation; and reporting compliance concerns to the Office of the Provost.</w:t>
      </w:r>
    </w:p>
    <w:p w14:paraId="0D754BD3" w14:textId="53F8119B" w:rsidR="00AF2361" w:rsidRDefault="005E2780">
      <w:pPr>
        <w:spacing w:before="120" w:after="60"/>
      </w:pPr>
      <w:r>
        <w:rPr>
          <w:b/>
          <w:bCs/>
        </w:rPr>
        <w:t xml:space="preserve">Office of the Provost and </w:t>
      </w:r>
      <w:r w:rsidR="00A0614D">
        <w:rPr>
          <w:b/>
          <w:bCs/>
        </w:rPr>
        <w:t>Executive</w:t>
      </w:r>
      <w:r>
        <w:rPr>
          <w:b/>
          <w:bCs/>
        </w:rPr>
        <w:t xml:space="preserve"> Vice President</w:t>
      </w:r>
    </w:p>
    <w:p w14:paraId="67EA9ADE" w14:textId="18DF5F22" w:rsidR="00AF2361" w:rsidRDefault="005E2780">
      <w:pPr>
        <w:spacing w:after="120"/>
      </w:pPr>
      <w:r>
        <w:t>The Office of the Provost is responsible for maintaining and updating the Provost’s Office Official Syllabi</w:t>
      </w:r>
      <w:r w:rsidR="55AF5359">
        <w:t xml:space="preserve"> </w:t>
      </w:r>
      <w:r>
        <w:t xml:space="preserve"> Statements page; coordinating the Coursedog repository and ensuring its integration with records retention systems; providing accessible syllabus templates and compliance guidance to faculty; communicating policy updates to academic units; and reporting institutional syllabus compliance to HLC and other accrediting or regulatory bodies as required.</w:t>
      </w:r>
    </w:p>
    <w:p w14:paraId="2E441FD9" w14:textId="0340282E" w:rsidR="00AF2361" w:rsidRDefault="005E2780">
      <w:pPr>
        <w:spacing w:before="120" w:after="60"/>
      </w:pPr>
      <w:r>
        <w:rPr>
          <w:b/>
          <w:bCs/>
        </w:rPr>
        <w:t xml:space="preserve">Office of </w:t>
      </w:r>
      <w:r w:rsidR="00A0614D">
        <w:rPr>
          <w:b/>
          <w:bCs/>
        </w:rPr>
        <w:t>Academic Affairs and Innovation</w:t>
      </w:r>
    </w:p>
    <w:p w14:paraId="5D476501" w14:textId="447CEE93" w:rsidR="00A278AD" w:rsidRDefault="00A0614D">
      <w:pPr>
        <w:spacing w:after="120"/>
      </w:pPr>
      <w:r>
        <w:t>Th</w:t>
      </w:r>
      <w:r w:rsidR="003E5D43">
        <w:t>e</w:t>
      </w:r>
      <w:r>
        <w:t xml:space="preserve"> </w:t>
      </w:r>
      <w:r w:rsidR="007B6F19">
        <w:t>Office of Academic Affairs and Innovation</w:t>
      </w:r>
      <w:r>
        <w:t xml:space="preserve"> is responsible for providing training, tools, and consultation to assist Instructors in creating digitally accessible syllabi; maintaining and disseminating WCAG 2.1 AA-conforming syllabus templates; and conducting accessibility audits of documents in the Coursedog repository as requested.</w:t>
      </w:r>
    </w:p>
    <w:p w14:paraId="7617939A" w14:textId="77777777" w:rsidR="00AF2361" w:rsidRDefault="005E2780">
      <w:pPr>
        <w:spacing w:before="120" w:after="60"/>
      </w:pPr>
      <w:r>
        <w:rPr>
          <w:b/>
          <w:bCs/>
        </w:rPr>
        <w:t>Faculty Senate</w:t>
      </w:r>
    </w:p>
    <w:p w14:paraId="1D748678" w14:textId="4C5E1D42" w:rsidR="00AF2361" w:rsidRDefault="005E2780" w:rsidP="00FA2ACF">
      <w:pPr>
        <w:spacing w:after="120"/>
      </w:pPr>
      <w:r>
        <w:lastRenderedPageBreak/>
        <w:t>The Faculty Senate, in coordination with the Office of the Provost, participates in the annual review of this policy and may propose amendments through the shared governance process consistent with the University Handbook.</w:t>
      </w:r>
    </w:p>
    <w:p w14:paraId="1A57786C" w14:textId="3786F70E" w:rsidR="00AF2361" w:rsidRDefault="00C7768A">
      <w:pPr>
        <w:pStyle w:val="Heading2"/>
      </w:pPr>
      <w:bookmarkStart w:id="31" w:name="_Toc226371370"/>
      <w:r>
        <w:t>26.</w:t>
      </w:r>
      <w:r w:rsidR="00B0187F">
        <w:t>5</w:t>
      </w:r>
      <w:r w:rsidR="005E2780">
        <w:t xml:space="preserve"> Policy Review and Maintenance</w:t>
      </w:r>
      <w:bookmarkEnd w:id="31"/>
    </w:p>
    <w:p w14:paraId="28B38983" w14:textId="4EB40040" w:rsidR="00AF2361" w:rsidRDefault="0429082F">
      <w:pPr>
        <w:spacing w:after="120"/>
      </w:pPr>
      <w:bookmarkStart w:id="32" w:name="OLE_LINK3"/>
      <w:r>
        <w:t xml:space="preserve">The Office of the Provost, in coordination with the Faculty Senate, will review this policy on an annual basis to ensure alignment with updated University Handbook sections, evolving HLC accreditation standards, federal regulatory changes, KBOR policy updates, and digital accessibility requirements. Substantive changes to this policy will be communicated to all academic units channels no later than </w:t>
      </w:r>
      <w:r w:rsidR="005016AB">
        <w:t xml:space="preserve">June 30 preceding the academic year in which the changes take effect, providing </w:t>
      </w:r>
      <w:r w:rsidR="00D23686">
        <w:t>instructors</w:t>
      </w:r>
      <w:r w:rsidR="005016AB">
        <w:t xml:space="preserve"> with sufficient lead time to incorporate any required updates into their </w:t>
      </w:r>
      <w:r w:rsidR="00C6790B">
        <w:t>syllabi</w:t>
      </w:r>
      <w:r w:rsidR="005016AB">
        <w:t xml:space="preserve"> prior to the start of the </w:t>
      </w:r>
      <w:r w:rsidR="00C6790B">
        <w:t xml:space="preserve">fall term. </w:t>
      </w:r>
    </w:p>
    <w:bookmarkEnd w:id="32"/>
    <w:p w14:paraId="7B74F52D" w14:textId="7061BF95" w:rsidR="00AF2361" w:rsidRDefault="005E2780" w:rsidP="00FA2ACF">
      <w:pPr>
        <w:spacing w:after="120"/>
      </w:pPr>
      <w:r>
        <w:t>This policy will be reviewed for compliance with the ADA Title II Final Rule’s WCAG 2.1 Level AA requirements no later than April 1, 2027, and annually thereafter, to ensure ongoing conformance as accessibility standards evolve.</w:t>
      </w:r>
    </w:p>
    <w:p w14:paraId="50EEB133" w14:textId="2DCBEF8C" w:rsidR="00AF2361" w:rsidRDefault="00C7768A">
      <w:pPr>
        <w:pStyle w:val="Heading2"/>
      </w:pPr>
      <w:bookmarkStart w:id="33" w:name="_Toc226371371"/>
      <w:r>
        <w:t>26.</w:t>
      </w:r>
      <w:r w:rsidR="00B0187F">
        <w:t>6</w:t>
      </w:r>
      <w:r w:rsidR="005E2780">
        <w:t xml:space="preserve"> Compliance Reference Summary</w:t>
      </w:r>
      <w:bookmarkEnd w:id="33"/>
    </w:p>
    <w:p w14:paraId="523C4574" w14:textId="1CD7A8A5" w:rsidR="00AF2361" w:rsidRDefault="005E2780" w:rsidP="00791D42">
      <w:pPr>
        <w:spacing w:after="120"/>
      </w:pPr>
      <w:r>
        <w:t>The following table summarizes the primary external requirements addressed by this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51724" w14:paraId="0134B0F8" w14:textId="77777777">
        <w:tc>
          <w:tcPr>
            <w:tcW w:w="312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6D415778" w14:textId="77777777" w:rsidR="00AF2361" w:rsidRDefault="005E2780">
            <w:r>
              <w:rPr>
                <w:b/>
                <w:bCs/>
                <w:color w:val="FFFFFF"/>
                <w:sz w:val="20"/>
                <w:szCs w:val="20"/>
              </w:rPr>
              <w:t>Requirement</w:t>
            </w:r>
          </w:p>
        </w:tc>
        <w:tc>
          <w:tcPr>
            <w:tcW w:w="312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7EC578BF" w14:textId="77777777" w:rsidR="00AF2361" w:rsidRDefault="005E2780">
            <w:r>
              <w:rPr>
                <w:b/>
                <w:bCs/>
                <w:color w:val="FFFFFF"/>
                <w:sz w:val="20"/>
                <w:szCs w:val="20"/>
              </w:rPr>
              <w:t>Citation</w:t>
            </w:r>
          </w:p>
        </w:tc>
        <w:tc>
          <w:tcPr>
            <w:tcW w:w="312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78B635A3" w14:textId="77777777" w:rsidR="00AF2361" w:rsidRDefault="005E2780">
            <w:r>
              <w:rPr>
                <w:b/>
                <w:bCs/>
                <w:color w:val="FFFFFF"/>
                <w:sz w:val="20"/>
                <w:szCs w:val="20"/>
              </w:rPr>
              <w:t>Policy Section(s)</w:t>
            </w:r>
          </w:p>
        </w:tc>
      </w:tr>
      <w:tr w:rsidR="00351724" w14:paraId="3FC47804" w14:textId="77777777">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D75CC38" w14:textId="77777777" w:rsidR="00AF2361" w:rsidRDefault="005E2780">
            <w:r>
              <w:rPr>
                <w:sz w:val="20"/>
                <w:szCs w:val="20"/>
              </w:rPr>
              <w:t>HLC Assumed Practice C.5 – Syllabus Requirement</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286E0B" w14:textId="77777777" w:rsidR="00AF2361" w:rsidRDefault="005E2780">
            <w:r>
              <w:rPr>
                <w:i/>
                <w:iCs/>
                <w:sz w:val="20"/>
                <w:szCs w:val="20"/>
              </w:rPr>
              <w:t>HLC Assumed Practices, Part C</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91257F1" w14:textId="77777777" w:rsidR="00AF2361" w:rsidRDefault="005E2780">
            <w:r>
              <w:rPr>
                <w:sz w:val="20"/>
                <w:szCs w:val="20"/>
              </w:rPr>
              <w:t>.010, .040, .070.A</w:t>
            </w:r>
          </w:p>
        </w:tc>
      </w:tr>
      <w:tr w:rsidR="00351724" w14:paraId="0810CC54" w14:textId="77777777">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F3D0585" w14:textId="77777777" w:rsidR="00AF2361" w:rsidRDefault="005E2780">
            <w:r>
              <w:rPr>
                <w:sz w:val="20"/>
                <w:szCs w:val="20"/>
              </w:rPr>
              <w:t>HLC Criterion 3 – Teaching Quality &amp; Consistency Across Modalities</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309B7E1" w14:textId="77777777" w:rsidR="00AF2361" w:rsidRDefault="005E2780">
            <w:r>
              <w:rPr>
                <w:i/>
                <w:iCs/>
                <w:sz w:val="20"/>
                <w:szCs w:val="20"/>
              </w:rPr>
              <w:t>HLC Criteria 3.A</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6DFF040" w14:textId="77777777" w:rsidR="00AF2361" w:rsidRDefault="005E2780">
            <w:r>
              <w:rPr>
                <w:sz w:val="20"/>
                <w:szCs w:val="20"/>
              </w:rPr>
              <w:t>.050.A, .050.B, .070.A</w:t>
            </w:r>
          </w:p>
        </w:tc>
      </w:tr>
      <w:tr w:rsidR="00351724" w14:paraId="2D9D7F63" w14:textId="77777777">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77B5669" w14:textId="77777777" w:rsidR="00AF2361" w:rsidRDefault="005E2780">
            <w:r>
              <w:rPr>
                <w:sz w:val="20"/>
                <w:szCs w:val="20"/>
              </w:rPr>
              <w:t>HLC Criterion 4 – Assessment &amp; Evaluation</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AEADD9" w14:textId="77777777" w:rsidR="00AF2361" w:rsidRDefault="005E2780">
            <w:r>
              <w:rPr>
                <w:i/>
                <w:iCs/>
                <w:sz w:val="20"/>
                <w:szCs w:val="20"/>
              </w:rPr>
              <w:t>HLC Criteria 4.A, 4.B</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501E0C" w14:textId="77777777" w:rsidR="00AF2361" w:rsidRDefault="005E2780">
            <w:r>
              <w:rPr>
                <w:sz w:val="20"/>
                <w:szCs w:val="20"/>
              </w:rPr>
              <w:t>.050.B, .070.A</w:t>
            </w:r>
          </w:p>
        </w:tc>
      </w:tr>
      <w:tr w:rsidR="00351724" w14:paraId="3BCC6D3D" w14:textId="77777777">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E2CC851" w14:textId="77777777" w:rsidR="00AF2361" w:rsidRDefault="005E2780">
            <w:r>
              <w:rPr>
                <w:sz w:val="20"/>
                <w:szCs w:val="20"/>
              </w:rPr>
              <w:t>Federal Credit Hour Definition</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70D8C9D" w14:textId="77777777" w:rsidR="00AF2361" w:rsidRDefault="005E2780">
            <w:r>
              <w:rPr>
                <w:i/>
                <w:iCs/>
                <w:sz w:val="20"/>
                <w:szCs w:val="20"/>
              </w:rPr>
              <w:t>34 CFR § 600.2</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DD83DED" w14:textId="77777777" w:rsidR="00AF2361" w:rsidRDefault="005E2780">
            <w:r>
              <w:rPr>
                <w:sz w:val="20"/>
                <w:szCs w:val="20"/>
              </w:rPr>
              <w:t>.020, .050.A, .070.B</w:t>
            </w:r>
          </w:p>
        </w:tc>
      </w:tr>
      <w:tr w:rsidR="00351724" w14:paraId="31187912" w14:textId="77777777">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878338" w14:textId="77777777" w:rsidR="00AF2361" w:rsidRDefault="005E2780">
            <w:r>
              <w:rPr>
                <w:sz w:val="20"/>
                <w:szCs w:val="20"/>
              </w:rPr>
              <w:t>Title IV Student Financial Aid Compliance</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C1CED0" w14:textId="77777777" w:rsidR="00AF2361" w:rsidRDefault="005E2780">
            <w:r>
              <w:rPr>
                <w:i/>
                <w:iCs/>
                <w:sz w:val="20"/>
                <w:szCs w:val="20"/>
              </w:rPr>
              <w:t>34 CFR Part 668, Subpart D</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727E8BD" w14:textId="77777777" w:rsidR="00AF2361" w:rsidRDefault="005E2780">
            <w:r>
              <w:rPr>
                <w:sz w:val="20"/>
                <w:szCs w:val="20"/>
              </w:rPr>
              <w:t>.040, .070.C</w:t>
            </w:r>
          </w:p>
        </w:tc>
      </w:tr>
      <w:tr w:rsidR="00351724" w14:paraId="707E3CB4" w14:textId="77777777">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2E97C49" w14:textId="77777777" w:rsidR="00AF2361" w:rsidRDefault="005E2780">
            <w:r>
              <w:rPr>
                <w:sz w:val="20"/>
                <w:szCs w:val="20"/>
              </w:rPr>
              <w:t>Distance Education – Regular &amp; Substantive Interaction</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251C0B5" w14:textId="77777777" w:rsidR="00AF2361" w:rsidRDefault="005E2780">
            <w:r>
              <w:rPr>
                <w:i/>
                <w:iCs/>
                <w:sz w:val="20"/>
                <w:szCs w:val="20"/>
              </w:rPr>
              <w:t>34 CFR §§ 600.2, 668.10</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55A9E78" w14:textId="77777777" w:rsidR="00AF2361" w:rsidRDefault="005E2780">
            <w:r>
              <w:rPr>
                <w:sz w:val="20"/>
                <w:szCs w:val="20"/>
              </w:rPr>
              <w:t>.050.C, .070.C</w:t>
            </w:r>
          </w:p>
        </w:tc>
      </w:tr>
      <w:tr w:rsidR="00351724" w14:paraId="2DA1347C" w14:textId="77777777">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EBC0CC" w14:textId="77777777" w:rsidR="00AF2361" w:rsidRDefault="005E2780">
            <w:r>
              <w:rPr>
                <w:sz w:val="20"/>
                <w:szCs w:val="20"/>
              </w:rPr>
              <w:t>Kansas Board of Regents – Transfer Courses</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50323E" w14:textId="77777777" w:rsidR="00AF2361" w:rsidRDefault="005E2780">
            <w:r>
              <w:rPr>
                <w:i/>
                <w:iCs/>
                <w:sz w:val="20"/>
                <w:szCs w:val="20"/>
              </w:rPr>
              <w:t>KBOR Transfer Policy</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A45017" w14:textId="77777777" w:rsidR="00AF2361" w:rsidRDefault="005E2780">
            <w:r>
              <w:rPr>
                <w:sz w:val="20"/>
                <w:szCs w:val="20"/>
              </w:rPr>
              <w:t>.050.B, .070.D</w:t>
            </w:r>
          </w:p>
        </w:tc>
      </w:tr>
      <w:tr w:rsidR="00351724" w14:paraId="636ACFF3" w14:textId="77777777">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C674062" w14:textId="77777777" w:rsidR="00AF2361" w:rsidRDefault="005E2780">
            <w:r>
              <w:rPr>
                <w:sz w:val="20"/>
                <w:szCs w:val="20"/>
              </w:rPr>
              <w:t>Kansas Board of Regents – Program Quality</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01DA015" w14:textId="77777777" w:rsidR="00AF2361" w:rsidRDefault="005E2780">
            <w:r>
              <w:rPr>
                <w:i/>
                <w:iCs/>
                <w:sz w:val="20"/>
                <w:szCs w:val="20"/>
              </w:rPr>
              <w:t>KBOR Policy Manual</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B930D1C" w14:textId="77777777" w:rsidR="00AF2361" w:rsidRDefault="005E2780">
            <w:r>
              <w:rPr>
                <w:sz w:val="20"/>
                <w:szCs w:val="20"/>
              </w:rPr>
              <w:t>.040, .070.D</w:t>
            </w:r>
          </w:p>
        </w:tc>
      </w:tr>
      <w:tr w:rsidR="00351724" w14:paraId="715E2F05" w14:textId="77777777">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3B882E2" w14:textId="304A3E78" w:rsidR="00AF2361" w:rsidRDefault="005E2780">
            <w:r>
              <w:rPr>
                <w:sz w:val="20"/>
                <w:szCs w:val="20"/>
              </w:rPr>
              <w:t>ADA Title II – WCAG 2.1 Level AA (eff. April 24, 202</w:t>
            </w:r>
            <w:r w:rsidR="00AD7C1B">
              <w:rPr>
                <w:sz w:val="20"/>
                <w:szCs w:val="20"/>
              </w:rPr>
              <w:t>7</w:t>
            </w:r>
            <w:r>
              <w:rPr>
                <w:sz w:val="20"/>
                <w:szCs w:val="20"/>
              </w:rPr>
              <w:t>)</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81D745" w14:textId="77777777" w:rsidR="00AF2361" w:rsidRDefault="005E2780">
            <w:r>
              <w:rPr>
                <w:i/>
                <w:iCs/>
                <w:sz w:val="20"/>
                <w:szCs w:val="20"/>
              </w:rPr>
              <w:t>DOJ ADA Title II Final Rule (2024)</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2C2A44" w14:textId="77777777" w:rsidR="00AF2361" w:rsidRDefault="005E2780">
            <w:r>
              <w:rPr>
                <w:sz w:val="20"/>
                <w:szCs w:val="20"/>
              </w:rPr>
              <w:t>.060, .070.D</w:t>
            </w:r>
          </w:p>
        </w:tc>
      </w:tr>
      <w:tr w:rsidR="00351724" w14:paraId="4A7141CB" w14:textId="77777777">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53EB51F" w14:textId="77777777" w:rsidR="00AF2361" w:rsidRDefault="005E2780">
            <w:r>
              <w:rPr>
                <w:sz w:val="20"/>
                <w:szCs w:val="20"/>
              </w:rPr>
              <w:t>Section 504 of the Rehabilitation Act</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1B74C18" w14:textId="77777777" w:rsidR="00AF2361" w:rsidRDefault="005E2780">
            <w:r>
              <w:rPr>
                <w:i/>
                <w:iCs/>
                <w:sz w:val="20"/>
                <w:szCs w:val="20"/>
              </w:rPr>
              <w:t>29 U.S.C. § 794</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FEEE26D" w14:textId="77777777" w:rsidR="00AF2361" w:rsidRDefault="005E2780">
            <w:r>
              <w:rPr>
                <w:sz w:val="20"/>
                <w:szCs w:val="20"/>
              </w:rPr>
              <w:t>.050.D, .060</w:t>
            </w:r>
          </w:p>
        </w:tc>
      </w:tr>
      <w:tr w:rsidR="00351724" w14:paraId="3D4A6372" w14:textId="77777777">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F5EC8C" w14:textId="77777777" w:rsidR="00AF2361" w:rsidRDefault="005E2780">
            <w:r>
              <w:rPr>
                <w:sz w:val="20"/>
                <w:szCs w:val="20"/>
              </w:rPr>
              <w:t>University Handbook – Credit Hours &amp; Course Requirements</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680B4F6" w14:textId="77777777" w:rsidR="00AF2361" w:rsidRDefault="005E2780">
            <w:r>
              <w:rPr>
                <w:i/>
                <w:iCs/>
                <w:sz w:val="20"/>
                <w:szCs w:val="20"/>
              </w:rPr>
              <w:t>University Handbook F62, F67</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2AB362E" w14:textId="77777777" w:rsidR="00AF2361" w:rsidRDefault="005E2780">
            <w:r>
              <w:rPr>
                <w:sz w:val="20"/>
                <w:szCs w:val="20"/>
              </w:rPr>
              <w:t>.050.A, .050.C</w:t>
            </w:r>
          </w:p>
        </w:tc>
      </w:tr>
      <w:tr w:rsidR="00351724" w14:paraId="0733FEC3" w14:textId="77777777">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9D5D2FF" w14:textId="77777777" w:rsidR="00AF2361" w:rsidRDefault="005E2780">
            <w:r>
              <w:rPr>
                <w:sz w:val="20"/>
                <w:szCs w:val="20"/>
              </w:rPr>
              <w:lastRenderedPageBreak/>
              <w:t>University Handbook – Instructor Responsibilities</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B0C5E86" w14:textId="77777777" w:rsidR="00AF2361" w:rsidRDefault="005E2780">
            <w:r>
              <w:rPr>
                <w:i/>
                <w:iCs/>
                <w:sz w:val="20"/>
                <w:szCs w:val="20"/>
              </w:rPr>
              <w:t>University Handbook D12</w:t>
            </w:r>
          </w:p>
        </w:tc>
        <w:tc>
          <w:tcPr>
            <w:tcW w:w="312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4930502" w14:textId="77777777" w:rsidR="00AF2361" w:rsidRDefault="005E2780">
            <w:r>
              <w:rPr>
                <w:sz w:val="20"/>
                <w:szCs w:val="20"/>
              </w:rPr>
              <w:t>.050.A</w:t>
            </w:r>
          </w:p>
        </w:tc>
      </w:tr>
    </w:tbl>
    <w:p w14:paraId="70C13AEE" w14:textId="77777777" w:rsidR="00AF2361" w:rsidRDefault="00AF2361">
      <w:pPr>
        <w:spacing w:after="60"/>
      </w:pPr>
    </w:p>
    <w:p w14:paraId="3A0B2377" w14:textId="77777777" w:rsidR="00A0614D" w:rsidRDefault="00A0614D">
      <w:pPr>
        <w:spacing w:after="60"/>
      </w:pPr>
    </w:p>
    <w:p w14:paraId="6A8E202D" w14:textId="69754ED0" w:rsidR="00A0614D" w:rsidRDefault="00A0614D">
      <w:r>
        <w:br w:type="page"/>
      </w:r>
    </w:p>
    <w:p w14:paraId="203A058B" w14:textId="5FB46BC8" w:rsidR="00A0614D" w:rsidRDefault="00A0614D" w:rsidP="00A0614D">
      <w:pPr>
        <w:pStyle w:val="Heading2"/>
      </w:pPr>
      <w:bookmarkStart w:id="34" w:name="_Toc226371372"/>
      <w:r w:rsidRPr="00B11F4F">
        <w:rPr>
          <w:highlight w:val="yellow"/>
        </w:rPr>
        <w:lastRenderedPageBreak/>
        <w:t>FOR INTERNAL USE ONLY – WILL NOT APPEAR IN FINAL VERSION Accreditation and Federal Compliance</w:t>
      </w:r>
      <w:bookmarkEnd w:id="34"/>
    </w:p>
    <w:p w14:paraId="52608F52" w14:textId="1EDE1D77" w:rsidR="00A0614D" w:rsidRDefault="00A0614D" w:rsidP="00791D42">
      <w:pPr>
        <w:spacing w:after="120"/>
      </w:pPr>
      <w:r>
        <w:t xml:space="preserve">This policy is designed to ensure Kansas State University’s continuous compliance with requirements. This is not an exhaustive list. AI was used to help generate statements about how this policy is compliant with the requirements. </w:t>
      </w:r>
    </w:p>
    <w:p w14:paraId="5D672743" w14:textId="77777777" w:rsidR="00A0614D" w:rsidRDefault="00A0614D" w:rsidP="00A0614D">
      <w:pPr>
        <w:spacing w:before="120" w:after="60"/>
      </w:pPr>
      <w:r>
        <w:rPr>
          <w:b/>
          <w:bCs/>
        </w:rPr>
        <w:t>A. Higher Learning Commission (HLC) Requirements</w:t>
      </w:r>
    </w:p>
    <w:p w14:paraId="595A1373" w14:textId="77777777" w:rsidR="00A0614D" w:rsidRDefault="00A0614D" w:rsidP="00A0614D">
      <w:pPr>
        <w:spacing w:after="120"/>
      </w:pPr>
      <w:r>
        <w:rPr>
          <w:b/>
          <w:bCs/>
        </w:rPr>
        <w:t>Assumed Practice C.5 – Syllabus Requirement.</w:t>
      </w:r>
      <w:r>
        <w:t xml:space="preserve"> HLC Assumed Practices are baseline expectations that apply to all accredited institutions. Under Assumed Practice C.5, Kansas State University must ensure that instructors develop a course syllabus for each course and communicate it to students in writing and in a timely manner. The syllabus must contain the information students need to successfully complete the course. Compliance with this policy fulfills K-State’s obligations under Assumed Practice C.5.</w:t>
      </w:r>
    </w:p>
    <w:p w14:paraId="6FA90202" w14:textId="77777777" w:rsidR="00A0614D" w:rsidRDefault="00A0614D" w:rsidP="00A0614D">
      <w:pPr>
        <w:spacing w:after="120"/>
      </w:pPr>
      <w:r>
        <w:rPr>
          <w:b/>
          <w:bCs/>
        </w:rPr>
        <w:t>HLC Criterion 3 – Teaching and Learning: Quality, Resources, and Support.</w:t>
      </w:r>
      <w:r>
        <w:t xml:space="preserve"> HLC Criterion 3 requires that the university’s courses and programs are of appropriate rigor and quality for the credentials awarded. Course syllabi must reflect appropriate levels of academic rigor, document student learning outcomes, and demonstrate alignment between course activities and those outcomes. Criterion 3.A further requires that the institution’s courses and programs are consistent across modalities, meaning that syllabi for the same course offered in different modalities must demonstrate equivalent learning goals and academic expectations.</w:t>
      </w:r>
    </w:p>
    <w:p w14:paraId="57B3530E" w14:textId="03D7A2DA" w:rsidR="00A0614D" w:rsidRDefault="00A0614D" w:rsidP="00791D42">
      <w:pPr>
        <w:spacing w:after="120"/>
      </w:pPr>
      <w:r>
        <w:rPr>
          <w:b/>
          <w:bCs/>
        </w:rPr>
        <w:t>HLC Criterion 4 – Teaching and Learning: Evaluation and Improvement.</w:t>
      </w:r>
      <w:r>
        <w:t xml:space="preserve"> HLC Criterion 4.B requires the institution to engage in ongoing, comprehensive assessment of student learning. Course syllabi that clearly articulate student learning outcomes, assessment methods, and alignment with program-level outcomes provide the foundational documentation for K-State’s assessment processes. The Coursedog repository supports Criterion 4 by enabling systematic collection, review, and comparison of syllabi across programs and time periods. Criterion 4.A further requires institutional authority over course prerequisites, expected levels of student performance, and expectations for student learning—all of which are communicated through the syllabus.</w:t>
      </w:r>
    </w:p>
    <w:p w14:paraId="1586294A" w14:textId="77777777" w:rsidR="00A0614D" w:rsidRDefault="00A0614D" w:rsidP="00A0614D">
      <w:pPr>
        <w:spacing w:before="120" w:after="60"/>
      </w:pPr>
      <w:r>
        <w:rPr>
          <w:b/>
          <w:bCs/>
        </w:rPr>
        <w:t>B. Federal Credit Hour Requirements (34 CFR § 600.2)</w:t>
      </w:r>
    </w:p>
    <w:p w14:paraId="56EAB042" w14:textId="0BC46A61" w:rsidR="00A0614D" w:rsidRDefault="00A0614D" w:rsidP="00A0614D">
      <w:pPr>
        <w:spacing w:after="120"/>
      </w:pPr>
      <w:r>
        <w:t>The federal definition of a credit hour (</w:t>
      </w:r>
      <w:hyperlink r:id="rId34" w:history="1">
        <w:r w:rsidRPr="00791D42">
          <w:rPr>
            <w:rStyle w:val="Hyperlink"/>
          </w:rPr>
          <w:t>34 CFR § 600.2</w:t>
        </w:r>
      </w:hyperlink>
      <w:r>
        <w:t>) requires that a credit hour represent an amount of student work consistent with commonly accepted practice in postsecondary education. For a standard semester-length course, one credit hour must represent at least:</w:t>
      </w:r>
    </w:p>
    <w:p w14:paraId="0478AC8C" w14:textId="23FA515C" w:rsidR="00A0614D" w:rsidRDefault="00A0614D" w:rsidP="00A0614D">
      <w:pPr>
        <w:pStyle w:val="ListParagraph"/>
        <w:numPr>
          <w:ilvl w:val="0"/>
          <w:numId w:val="2"/>
        </w:numPr>
        <w:spacing w:after="60"/>
      </w:pPr>
      <w:r>
        <w:t>One hour of classroom instruction or direct faculty contact per week; AND</w:t>
      </w:r>
    </w:p>
    <w:p w14:paraId="24801ECC" w14:textId="77777777" w:rsidR="00A0614D" w:rsidRDefault="00A0614D" w:rsidP="00A0614D">
      <w:pPr>
        <w:pStyle w:val="ListParagraph"/>
        <w:numPr>
          <w:ilvl w:val="0"/>
          <w:numId w:val="2"/>
        </w:numPr>
        <w:spacing w:after="60"/>
      </w:pPr>
      <w:r>
        <w:t>A minimum of two hours of out-of-class student work per week;</w:t>
      </w:r>
    </w:p>
    <w:p w14:paraId="622A4AD4" w14:textId="77777777" w:rsidR="00A0614D" w:rsidRDefault="00A0614D" w:rsidP="00A0614D">
      <w:pPr>
        <w:pStyle w:val="ListParagraph"/>
        <w:numPr>
          <w:ilvl w:val="0"/>
          <w:numId w:val="2"/>
        </w:numPr>
        <w:spacing w:after="60"/>
      </w:pPr>
      <w:r>
        <w:t>Over approximately fifteen weeks, or the equivalent for compressed or non-standard formats.</w:t>
      </w:r>
    </w:p>
    <w:p w14:paraId="0B85953D" w14:textId="77777777" w:rsidR="00A0614D" w:rsidRDefault="00A0614D" w:rsidP="00A0614D">
      <w:pPr>
        <w:spacing w:after="120"/>
      </w:pPr>
      <w:r>
        <w:t>Course syllabi must include a workload statement (see Section .050.A) demonstrating that the planned instructional time and out-of-class work for each credit hour meets this federal standard. Department heads and deans are responsible for reviewing syllabi to ensure credit hour assignments are appropriate and documented. This requirement applies to all instructional modalities, including online and hybrid courses, for which the federal credit hour definition applies without exception.</w:t>
      </w:r>
    </w:p>
    <w:p w14:paraId="1EBB000E" w14:textId="77777777" w:rsidR="00A0614D" w:rsidRDefault="00A0614D" w:rsidP="00A0614D">
      <w:pPr>
        <w:spacing w:after="60"/>
      </w:pPr>
    </w:p>
    <w:p w14:paraId="06FDEA16" w14:textId="77777777" w:rsidR="00A0614D" w:rsidRDefault="00A0614D" w:rsidP="00A0614D">
      <w:pPr>
        <w:spacing w:before="120" w:after="60"/>
      </w:pPr>
      <w:r>
        <w:rPr>
          <w:b/>
          <w:bCs/>
        </w:rPr>
        <w:t>C. Title IV Student Financial Aid Compliance (34 CFR Part 668)</w:t>
      </w:r>
    </w:p>
    <w:p w14:paraId="560A0F07" w14:textId="2E5A2B7A" w:rsidR="00A0614D" w:rsidRDefault="00A0614D" w:rsidP="00A0614D">
      <w:pPr>
        <w:spacing w:after="120"/>
      </w:pPr>
      <w:r>
        <w:lastRenderedPageBreak/>
        <w:t xml:space="preserve">Kansas State University’s participation in federal Title IV student financial aid programs requires the institution to meet disclosure and consumer information requirements set forth in </w:t>
      </w:r>
      <w:hyperlink r:id="rId35" w:history="1">
        <w:r w:rsidRPr="000F34AF">
          <w:rPr>
            <w:rStyle w:val="Hyperlink"/>
          </w:rPr>
          <w:t>34 CFR Part 668</w:t>
        </w:r>
      </w:hyperlink>
      <w:r>
        <w:t>, Subpart D. Syllabi support Title IV compliance in several important ways:</w:t>
      </w:r>
    </w:p>
    <w:p w14:paraId="5AEF72DB" w14:textId="77777777" w:rsidR="00A0614D" w:rsidRDefault="00A0614D" w:rsidP="00A0614D">
      <w:pPr>
        <w:pStyle w:val="ListParagraph"/>
        <w:numPr>
          <w:ilvl w:val="0"/>
          <w:numId w:val="2"/>
        </w:numPr>
        <w:spacing w:after="60"/>
      </w:pPr>
      <w:r>
        <w:t>Accurate documentation of credit hours supports determinations of full-time and part-time enrollment status used to calculate federal financial aid eligibility.</w:t>
      </w:r>
    </w:p>
    <w:p w14:paraId="2F162A4E" w14:textId="77777777" w:rsidR="00A0614D" w:rsidRDefault="00A0614D" w:rsidP="00A0614D">
      <w:pPr>
        <w:pStyle w:val="ListParagraph"/>
        <w:numPr>
          <w:ilvl w:val="0"/>
          <w:numId w:val="2"/>
        </w:numPr>
        <w:spacing w:after="60"/>
      </w:pPr>
      <w:r>
        <w:t>The required workload statement (Section .050.A) provides evidence that credit-bearing coursework meets the federal credit hour standard, supporting institutional eligibility to award federal financial aid for those courses.</w:t>
      </w:r>
    </w:p>
    <w:p w14:paraId="0061B7A6" w14:textId="77777777" w:rsidR="00A0614D" w:rsidRDefault="00A0614D" w:rsidP="00A0614D">
      <w:pPr>
        <w:pStyle w:val="ListParagraph"/>
        <w:numPr>
          <w:ilvl w:val="0"/>
          <w:numId w:val="2"/>
        </w:numPr>
        <w:spacing w:after="60"/>
      </w:pPr>
      <w:r>
        <w:t>Publicly accessible syllabi in the Coursedog repository support the institution’s consumer disclosure obligations by providing prospective and current students with information about course content, materials costs, and learning expectations prior to and during enrollment.</w:t>
      </w:r>
    </w:p>
    <w:p w14:paraId="0590BF2B" w14:textId="10256164" w:rsidR="00A0614D" w:rsidRDefault="00A0614D" w:rsidP="00A0614D">
      <w:pPr>
        <w:pStyle w:val="ListParagraph"/>
        <w:numPr>
          <w:ilvl w:val="0"/>
          <w:numId w:val="2"/>
        </w:numPr>
        <w:spacing w:after="60"/>
      </w:pPr>
      <w:r>
        <w:t xml:space="preserve">For distance education courses, syllabi must document that regular and substantive interaction between students and instructors is planned and provided, consistent with federal requirements distinguishing distance education from correspondence courses (34 CFR §§ </w:t>
      </w:r>
      <w:hyperlink r:id="rId36" w:history="1">
        <w:r w:rsidRPr="00DC102E">
          <w:rPr>
            <w:rStyle w:val="Hyperlink"/>
          </w:rPr>
          <w:t>600.2</w:t>
        </w:r>
      </w:hyperlink>
      <w:r>
        <w:t>,</w:t>
      </w:r>
      <w:hyperlink r:id="rId37" w:history="1">
        <w:r w:rsidRPr="00A61806">
          <w:rPr>
            <w:rStyle w:val="Hyperlink"/>
          </w:rPr>
          <w:t xml:space="preserve"> 668.10</w:t>
        </w:r>
      </w:hyperlink>
      <w:r w:rsidR="00A61806">
        <w:t>v</w:t>
      </w:r>
      <w:r>
        <w:t>).</w:t>
      </w:r>
    </w:p>
    <w:p w14:paraId="1D02974F" w14:textId="77777777" w:rsidR="00A0614D" w:rsidRDefault="00A0614D" w:rsidP="00A0614D">
      <w:pPr>
        <w:spacing w:before="120" w:after="60"/>
      </w:pPr>
      <w:r>
        <w:rPr>
          <w:b/>
          <w:bCs/>
        </w:rPr>
        <w:t>D. Kansas Board of Regents Requirements</w:t>
      </w:r>
    </w:p>
    <w:p w14:paraId="07737E81" w14:textId="3E5D08C2" w:rsidR="00A0614D" w:rsidRDefault="00A0614D" w:rsidP="00A0614D">
      <w:pPr>
        <w:spacing w:after="120"/>
      </w:pPr>
      <w:r>
        <w:t xml:space="preserve">As a state university under the governance of the Kansas Board of Regents (KBOR), Kansas State University is subject to </w:t>
      </w:r>
      <w:hyperlink r:id="rId38" w:history="1">
        <w:r w:rsidRPr="00850743">
          <w:rPr>
            <w:rStyle w:val="Hyperlink"/>
          </w:rPr>
          <w:t>KBOR’s policies</w:t>
        </w:r>
      </w:hyperlink>
      <w:r>
        <w:t xml:space="preserve"> and requirements applicable to academic programs, course offerings, and student protections. This policy supports K-State’s compliance with KBOR’s expectations in the following areas:</w:t>
      </w:r>
    </w:p>
    <w:p w14:paraId="74C8D54E" w14:textId="77777777" w:rsidR="00A0614D" w:rsidRDefault="00A0614D" w:rsidP="00A0614D">
      <w:pPr>
        <w:spacing w:after="120"/>
      </w:pPr>
      <w:r>
        <w:rPr>
          <w:b/>
          <w:bCs/>
        </w:rPr>
        <w:t>System-Wide Transfer Courses.</w:t>
      </w:r>
      <w:r>
        <w:t xml:space="preserve"> For courses that participate in the KBOR system-wide transfer framework, syllabi must clearly state the agreed-upon system-wide student learning outcomes established through the KBOR transfer alignment process. This ensures consistency and transparency for students transferring between Kansas regents universities and community colleges.</w:t>
      </w:r>
    </w:p>
    <w:p w14:paraId="57AC0540" w14:textId="77777777" w:rsidR="00A0614D" w:rsidRDefault="00A0614D" w:rsidP="00A0614D">
      <w:pPr>
        <w:spacing w:after="120"/>
      </w:pPr>
      <w:r>
        <w:rPr>
          <w:b/>
          <w:bCs/>
        </w:rPr>
        <w:t>Program Quality and Oversight.</w:t>
      </w:r>
      <w:r>
        <w:t xml:space="preserve"> KBOR requires its member institutions to maintain program quality and to demonstrate that courses reflect the academic standards appropriate to the degrees and certificates they support. The syllabus repository and annual review processes established under this policy provide documentation supporting KBOR program approval, review, and oversight processes.</w:t>
      </w:r>
    </w:p>
    <w:p w14:paraId="7D524216" w14:textId="77777777" w:rsidR="00A0614D" w:rsidRDefault="00A0614D" w:rsidP="00A0614D">
      <w:pPr>
        <w:spacing w:after="120"/>
      </w:pPr>
      <w:r>
        <w:rPr>
          <w:b/>
          <w:bCs/>
        </w:rPr>
        <w:t>Student Consumer Information.</w:t>
      </w:r>
      <w:r>
        <w:t xml:space="preserve"> KBOR policies require that students have access to information necessary to make informed enrollment decisions. The requirement that syllabi be accessible for review during the enrollment period (Section .040) fulfills this obligation in coordination with K-State’s broader consumer disclosure obligations.</w:t>
      </w:r>
    </w:p>
    <w:p w14:paraId="57BE3E07" w14:textId="0946A947" w:rsidR="00A0614D" w:rsidRDefault="00A0614D" w:rsidP="00A0614D">
      <w:pPr>
        <w:spacing w:after="120"/>
      </w:pPr>
      <w:r>
        <w:rPr>
          <w:b/>
          <w:bCs/>
        </w:rPr>
        <w:t>Accessibility Compliance.</w:t>
      </w:r>
      <w:r>
        <w:t xml:space="preserve"> KBOR institutions are required to comply with applicable federal disability access laws, including the ADA Title II Final Rule effective April 24, 2026. This policy’s digital accessibility requirements (</w:t>
      </w:r>
      <w:hyperlink w:anchor="_.060_Digital_Accessibility" w:history="1">
        <w:r w:rsidRPr="008F3543">
          <w:rPr>
            <w:rStyle w:val="Hyperlink"/>
          </w:rPr>
          <w:t>Section .060</w:t>
        </w:r>
      </w:hyperlink>
      <w:r>
        <w:t>) directly support K-State’s obligations as a KBOR institution.</w:t>
      </w:r>
    </w:p>
    <w:bookmarkEnd w:id="0"/>
    <w:p w14:paraId="545D740D" w14:textId="77777777" w:rsidR="00A0614D" w:rsidRDefault="00A0614D">
      <w:pPr>
        <w:spacing w:after="60"/>
      </w:pPr>
    </w:p>
    <w:sectPr w:rsidR="00A0614D">
      <w:headerReference w:type="even" r:id="rId39"/>
      <w:headerReference w:type="default" r:id="rId40"/>
      <w:footerReference w:type="default" r:id="rId41"/>
      <w:headerReference w:type="first" r:id="rId42"/>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d Schwartz" w:date="2026-05-20T10:58:00Z" w:initials="CS">
    <w:p w14:paraId="36515F00" w14:textId="4C3C9028" w:rsidR="00586541" w:rsidRDefault="00586541">
      <w:pPr>
        <w:pStyle w:val="CommentText"/>
      </w:pPr>
      <w:r>
        <w:rPr>
          <w:rStyle w:val="CommentReference"/>
        </w:rPr>
        <w:annotationRef/>
      </w:r>
      <w:r w:rsidRPr="1967B394">
        <w:t>This entire document presents a syllabus creation strategy where I generate my course syllabus on my computer using the software that I normally use to do so, make sure I follow all of the rules outlined, and then upload a copy of it to Coursedog before (typically for me) the 10th day of classes. I am new to Faculty Senate and, as such, have not been part of any of the discussions leading up to the creation of this draft of this policy, but from what I have heard from others that is not how this process will work (which is reinforced by this example document). I have been told that, instead, all faculty will be generating their syllabi within the Coursedog system and then outputting it to Canvas (or perhaps just as a file) for distribution to the students. If the latter is true, then I think there are many issues with some of the language and logic in the document that contradict this as a primary strategy for syllabus generation. If there is clarification that can be provided on this, I would greatly appreciate it. Perhaps the generative functionality in Coursedog is optional for use.</w:t>
      </w:r>
    </w:p>
  </w:comment>
  <w:comment w:id="2" w:author="Margaret Mohr-Schroeder" w:date="2026-05-20T09:14:00Z" w:initials="">
    <w:p w14:paraId="165CC5EA" w14:textId="1BCD7138" w:rsidR="00663377" w:rsidRDefault="00663377">
      <w:pPr>
        <w:pStyle w:val="CommentText"/>
      </w:pPr>
      <w:r>
        <w:rPr>
          <w:rStyle w:val="CommentReference"/>
        </w:rPr>
        <w:annotationRef/>
      </w:r>
      <w:r>
        <w:t xml:space="preserve">Thanks for this comment. Coursedog is the repository moving forward and yes, syllabi will be generated through the tool. We will have a guidelines/ how to's for the Coursedog side of things. For the syllabus policy, we need to set the requirements of elements and then what is our repository. </w:t>
      </w:r>
    </w:p>
  </w:comment>
  <w:comment w:id="3" w:author="Chad Schwartz" w:date="2026-05-20T13:47:00Z" w:initials="CS">
    <w:p w14:paraId="4F871780" w14:textId="7019985F" w:rsidR="00AA6DD4" w:rsidRDefault="00AA6DD4">
      <w:pPr>
        <w:pStyle w:val="CommentText"/>
      </w:pPr>
      <w:r>
        <w:rPr>
          <w:rStyle w:val="CommentReference"/>
        </w:rPr>
        <w:annotationRef/>
      </w:r>
      <w:r w:rsidRPr="695E6F1D">
        <w:t>The requirements for the inclusion of elements part is very clear from what I am reading. There is no issue there and if this document is simply about laying those rules out, that makes sense. But if Coursedog will be mandated as the syllabus generator, most of the wording of 25.4 seems to be misleading and incongruous with that plan. Just the notion of Coursedog being referred to only as a repository is incorrect as it makes no mention of it as a generator of the syllabi. That role goes well beyond the bounds of a typical definition for repository. The timeframe for submittal to Coursedog also seems odd given that all the syllabi will already be generated within it. If students must have a Coursedog generated syllabi on the first day of class, why would faculty be given until the 10th day of class to upload a syllabi to Coursedog when it must have already been there for at least 10 days (unless a faculty member has created as separate syllabus outside of Coursedog and then later inputs one, which could lead to dual documents floating around). In addition, several times in that section it states, “A course syllabus submitted to Coursedog…” or similar (as opposed to syllabi generated or created in Coursedog) which does not clearly represent the intended processes to be utilized here.   </w:t>
      </w:r>
    </w:p>
  </w:comment>
  <w:comment w:id="4" w:author="Jennifer Bormann" w:date="2026-05-19T11:08:00Z" w:initials="JB">
    <w:p w14:paraId="36677BC1" w14:textId="1A60B107" w:rsidR="007B68AD" w:rsidRDefault="007B68AD">
      <w:pPr>
        <w:pStyle w:val="CommentText"/>
      </w:pPr>
      <w:r>
        <w:rPr>
          <w:rStyle w:val="CommentReference"/>
        </w:rPr>
        <w:annotationRef/>
      </w:r>
      <w:r w:rsidRPr="13C61D52">
        <w:t>Section C25 is talking about adjunct appointments.  Where is this going to live?</w:t>
      </w:r>
    </w:p>
  </w:comment>
  <w:comment w:id="5" w:author="Margaret Mohr-Schroeder" w:date="2026-05-19T15:56:00Z" w:initials="MM">
    <w:p w14:paraId="0AC43562" w14:textId="059D4447" w:rsidR="00672570" w:rsidRDefault="00672570">
      <w:pPr>
        <w:pStyle w:val="CommentText"/>
      </w:pPr>
      <w:r>
        <w:rPr>
          <w:rStyle w:val="CommentReference"/>
        </w:rPr>
        <w:annotationRef/>
      </w:r>
      <w:r w:rsidRPr="45A0DC48">
        <w:t xml:space="preserve">It should be F 25. Fixing now. </w:t>
      </w:r>
    </w:p>
  </w:comment>
  <w:comment w:id="11" w:author="Barbara Anderson" w:date="2026-05-18T14:40:00Z" w:initials="BA">
    <w:p w14:paraId="3D480605" w14:textId="2F9CFEE8" w:rsidR="00590EEE" w:rsidRDefault="001E4B44">
      <w:pPr>
        <w:pStyle w:val="CommentText"/>
      </w:pPr>
      <w:r>
        <w:rPr>
          <w:rStyle w:val="CommentReference"/>
        </w:rPr>
        <w:annotationRef/>
      </w:r>
      <w:r w:rsidR="00590EEE" w:rsidRPr="39928F8F">
        <w:t>"expectations" should be deleted here, or included in the list in the sentence that follows.  Prior expectations may be different from future expectations.</w:t>
      </w:r>
    </w:p>
  </w:comment>
  <w:comment w:id="12" w:author="Elizabeth Dodd" w:date="2026-05-19T15:25:00Z" w:initials="ED">
    <w:p w14:paraId="49D4549F" w14:textId="399CB217" w:rsidR="008D6A1A" w:rsidRDefault="008D6A1A">
      <w:pPr>
        <w:pStyle w:val="CommentText"/>
      </w:pPr>
      <w:r>
        <w:rPr>
          <w:rStyle w:val="CommentReference"/>
        </w:rPr>
        <w:annotationRef/>
      </w:r>
      <w:r w:rsidRPr="2B710D26">
        <w:t>agreed</w:t>
      </w:r>
    </w:p>
  </w:comment>
  <w:comment w:id="13" w:author="Margaret Mohr-Schroeder" w:date="2026-05-19T16:13:00Z" w:initials="MMS">
    <w:p w14:paraId="2E3269FF" w14:textId="77777777" w:rsidR="0054036A" w:rsidRDefault="0054036A" w:rsidP="0054036A">
      <w:r>
        <w:rPr>
          <w:rStyle w:val="CommentReference"/>
        </w:rPr>
        <w:annotationRef/>
      </w:r>
      <w:r>
        <w:rPr>
          <w:sz w:val="20"/>
          <w:szCs w:val="20"/>
        </w:rPr>
        <w:t>added expectations to the next sentence.</w:t>
      </w:r>
    </w:p>
  </w:comment>
  <w:comment w:id="14" w:author="Julia Keen" w:date="2026-05-18T09:16:00Z" w:initials="JK">
    <w:p w14:paraId="1B506758" w14:textId="30801BC2" w:rsidR="004B7422" w:rsidRDefault="004B7422">
      <w:pPr>
        <w:pStyle w:val="CommentText"/>
      </w:pPr>
      <w:r>
        <w:rPr>
          <w:rStyle w:val="CommentReference"/>
        </w:rPr>
        <w:annotationRef/>
      </w:r>
      <w:r w:rsidRPr="793012F7">
        <w:t xml:space="preserve">Will Coursedog carry over the course syllabus from one semester to the next for editing or will a new syllabus need to be generated each semester within the platform? </w:t>
      </w:r>
    </w:p>
  </w:comment>
  <w:comment w:id="15" w:author="Margaret Mohr-Schroeder" w:date="2026-05-18T07:45:00Z" w:initials="">
    <w:p w14:paraId="736DB2FF" w14:textId="0184935F" w:rsidR="00574A16" w:rsidRDefault="00574A16">
      <w:pPr>
        <w:pStyle w:val="CommentText"/>
      </w:pPr>
      <w:r>
        <w:rPr>
          <w:rStyle w:val="CommentReference"/>
        </w:rPr>
        <w:annotationRef/>
      </w:r>
      <w:r>
        <w:t>You can clone from instance to instance.</w:t>
      </w:r>
    </w:p>
  </w:comment>
  <w:comment w:id="18" w:author="Julia Keen" w:date="2026-05-18T09:14:00Z" w:initials="JK">
    <w:p w14:paraId="2D29A9DA" w14:textId="716B8151" w:rsidR="004B7422" w:rsidRDefault="004B7422">
      <w:pPr>
        <w:pStyle w:val="CommentText"/>
      </w:pPr>
      <w:r>
        <w:rPr>
          <w:rStyle w:val="CommentReference"/>
        </w:rPr>
        <w:annotationRef/>
      </w:r>
      <w:r w:rsidRPr="2B077FEE">
        <w:t>This implies that there must be a syllabus created for each section of a course.  Will there be an easy way to copy syllabi within Coursedog for the classes that have multiple sections (i.e. +20 sections) rather than having to create a syllabus for each class?</w:t>
      </w:r>
    </w:p>
  </w:comment>
  <w:comment w:id="19" w:author="Margaret Mohr-Schroeder" w:date="2026-05-18T07:19:00Z" w:initials="">
    <w:p w14:paraId="765C97B5" w14:textId="5F392A02" w:rsidR="00692BBF" w:rsidRDefault="00692BBF">
      <w:pPr>
        <w:pStyle w:val="CommentText"/>
      </w:pPr>
      <w:r>
        <w:rPr>
          <w:rStyle w:val="CommentReference"/>
        </w:rPr>
        <w:annotationRef/>
      </w:r>
      <w:r>
        <w:t>Yes! There is a copy button.</w:t>
      </w:r>
    </w:p>
  </w:comment>
  <w:comment w:id="20" w:author="Jennifer Bormann" w:date="2026-05-19T11:03:00Z" w:initials="JB">
    <w:p w14:paraId="7A452608" w14:textId="70902F3F" w:rsidR="00771CFD" w:rsidRDefault="00771CFD">
      <w:pPr>
        <w:pStyle w:val="CommentText"/>
      </w:pPr>
      <w:r>
        <w:rPr>
          <w:rStyle w:val="CommentReference"/>
        </w:rPr>
        <w:annotationRef/>
      </w:r>
      <w:r w:rsidRPr="41F53B1D">
        <w:t>Can this be moved to required statements?  If every instructor has to generate this independently, there will be lots of variation, and potentially, mistakes.</w:t>
      </w:r>
    </w:p>
  </w:comment>
  <w:comment w:id="21" w:author="Margaret Mohr-Schroeder" w:date="2026-05-19T09:06:00Z" w:initials="">
    <w:p w14:paraId="09BA7692" w14:textId="71B0E6A7" w:rsidR="00127451" w:rsidRDefault="00127451">
      <w:pPr>
        <w:pStyle w:val="CommentText"/>
      </w:pPr>
      <w:r>
        <w:rPr>
          <w:rStyle w:val="CommentReference"/>
        </w:rPr>
        <w:annotationRef/>
      </w:r>
      <w:r>
        <w:t xml:space="preserve">This is required and it's already automatically generated by campus. Student feedback had this moved up instead of mixed in with the language at the end. </w:t>
      </w:r>
    </w:p>
  </w:comment>
  <w:comment w:id="22" w:author="Chad Schwartz" w:date="2026-05-20T10:06:00Z" w:initials="CS">
    <w:p w14:paraId="6E2AEE9D" w14:textId="09E1FB81" w:rsidR="005830A2" w:rsidRDefault="005830A2">
      <w:pPr>
        <w:pStyle w:val="CommentText"/>
      </w:pPr>
      <w:r>
        <w:rPr>
          <w:rStyle w:val="CommentReference"/>
        </w:rPr>
        <w:annotationRef/>
      </w:r>
      <w:r w:rsidRPr="7396F1CC">
        <w:t>I might have missed it, but it appears that while learning outcomes are discussed fairly clearly, there is no mention of learning objectives as being a requirement for inclusion in a syllabus. Is there a reason for this exclusion?</w:t>
      </w:r>
    </w:p>
  </w:comment>
  <w:comment w:id="23" w:author="Margaret Mohr-Schroeder" w:date="2026-05-20T11:29:00Z" w:initials="MMS">
    <w:p w14:paraId="3DA9C843" w14:textId="77777777" w:rsidR="0062117F" w:rsidRDefault="0062117F" w:rsidP="0062117F">
      <w:r>
        <w:rPr>
          <w:rStyle w:val="CommentReference"/>
        </w:rPr>
        <w:annotationRef/>
      </w:r>
      <w:r>
        <w:rPr>
          <w:sz w:val="20"/>
          <w:szCs w:val="20"/>
        </w:rPr>
        <w:t>This lays out the minimum requirements. Course objectives can be included and there is space for them in the Coursedog tool, but they are not required in addition to the SLOs.</w:t>
      </w:r>
    </w:p>
  </w:comment>
  <w:comment w:id="28" w:author="Elizabeth Dodd" w:date="2026-05-19T15:31:00Z" w:initials="ED">
    <w:p w14:paraId="166B789A" w14:textId="2E5FF4DB" w:rsidR="00672570" w:rsidRDefault="00672570">
      <w:pPr>
        <w:pStyle w:val="CommentText"/>
      </w:pPr>
      <w:r>
        <w:rPr>
          <w:rStyle w:val="CommentReference"/>
        </w:rPr>
        <w:annotationRef/>
      </w:r>
      <w:r w:rsidRPr="15601D7F">
        <w:t xml:space="preserve">Did this get clarified? For a majors-only course, it's presumed that the class SLOs will align with the major (program); for general education-type courses, many different programs may have SLOs that the home department did not develop. </w:t>
      </w:r>
    </w:p>
  </w:comment>
  <w:comment w:id="29" w:author="Margaret Mohr-Schroeder" w:date="2026-05-19T16:08:00Z" w:initials="MMS">
    <w:p w14:paraId="2E57F779" w14:textId="77777777" w:rsidR="005D17D0" w:rsidRDefault="005D17D0" w:rsidP="005D17D0">
      <w:r>
        <w:rPr>
          <w:rStyle w:val="CommentReference"/>
        </w:rPr>
        <w:annotationRef/>
      </w:r>
      <w:r>
        <w:rPr>
          <w:sz w:val="20"/>
          <w:szCs w:val="20"/>
        </w:rPr>
        <w:t>added that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515F00" w15:done="0"/>
  <w15:commentEx w15:paraId="165CC5EA" w15:paraIdParent="36515F00" w15:done="0"/>
  <w15:commentEx w15:paraId="4F871780" w15:paraIdParent="36515F00" w15:done="0"/>
  <w15:commentEx w15:paraId="36677BC1" w15:done="1"/>
  <w15:commentEx w15:paraId="0AC43562" w15:paraIdParent="36677BC1" w15:done="1"/>
  <w15:commentEx w15:paraId="3D480605" w15:done="1"/>
  <w15:commentEx w15:paraId="49D4549F" w15:paraIdParent="3D480605" w15:done="1"/>
  <w15:commentEx w15:paraId="2E3269FF" w15:paraIdParent="3D480605" w15:done="1"/>
  <w15:commentEx w15:paraId="1B506758" w15:done="1"/>
  <w15:commentEx w15:paraId="736DB2FF" w15:paraIdParent="1B506758" w15:done="1"/>
  <w15:commentEx w15:paraId="2D29A9DA" w15:done="1"/>
  <w15:commentEx w15:paraId="765C97B5" w15:paraIdParent="2D29A9DA" w15:done="1"/>
  <w15:commentEx w15:paraId="7A452608" w15:done="1"/>
  <w15:commentEx w15:paraId="09BA7692" w15:paraIdParent="7A452608" w15:done="1"/>
  <w15:commentEx w15:paraId="6E2AEE9D" w15:done="1"/>
  <w15:commentEx w15:paraId="3DA9C843" w15:paraIdParent="6E2AEE9D" w15:done="1"/>
  <w15:commentEx w15:paraId="166B789A" w15:done="1"/>
  <w15:commentEx w15:paraId="2E57F779" w15:paraIdParent="166B78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AA0F0D" w16cex:dateUtc="2026-05-20T15:58:00Z"/>
  <w16cex:commentExtensible w16cex:durableId="57AFD121" w16cex:dateUtc="2026-05-20T16:14:00Z"/>
  <w16cex:commentExtensible w16cex:durableId="66FF3D72" w16cex:dateUtc="2026-05-20T18:47:00Z"/>
  <w16cex:commentExtensible w16cex:durableId="0BB1924A" w16cex:dateUtc="2026-05-19T16:08:00Z"/>
  <w16cex:commentExtensible w16cex:durableId="3EE6ACDE" w16cex:dateUtc="2026-05-19T20:56:00Z"/>
  <w16cex:commentExtensible w16cex:durableId="769E6B4D" w16cex:dateUtc="2026-05-18T19:40:00Z"/>
  <w16cex:commentExtensible w16cex:durableId="689305F2" w16cex:dateUtc="2026-05-19T20:25:00Z"/>
  <w16cex:commentExtensible w16cex:durableId="7AD0D11F" w16cex:dateUtc="2026-05-19T21:13:00Z"/>
  <w16cex:commentExtensible w16cex:durableId="290C7365" w16cex:dateUtc="2026-05-18T14:16:00Z"/>
  <w16cex:commentExtensible w16cex:durableId="6085F9ED" w16cex:dateUtc="2026-05-18T14:45:00Z"/>
  <w16cex:commentExtensible w16cex:durableId="252D15E3" w16cex:dateUtc="2026-05-18T14:14:00Z"/>
  <w16cex:commentExtensible w16cex:durableId="3F071E0E" w16cex:dateUtc="2026-05-18T14:19:00Z"/>
  <w16cex:commentExtensible w16cex:durableId="5C7EA880" w16cex:dateUtc="2026-05-19T16:03:00Z">
    <w16cex:extLst>
      <w16:ext w16:uri="{CE6994B0-6A32-4C9F-8C6B-6E91EDA988CE}">
        <cr:reactions xmlns:cr="http://schemas.microsoft.com/office/comments/2020/reactions">
          <cr:reaction reactionType="1">
            <cr:reactionInfo dateUtc="2026-05-19T16:11:00Z">
              <cr:user userId="S::jbormann@ksu.edu::23155341-7edc-41a6-a95b-2784077d804d" userProvider="AD" userName="Jennifer Bormann"/>
            </cr:reactionInfo>
          </cr:reaction>
        </cr:reactions>
      </w16:ext>
    </w16cex:extLst>
  </w16cex:commentExtensible>
  <w16cex:commentExtensible w16cex:durableId="24C854A3" w16cex:dateUtc="2026-05-19T16:06:00Z"/>
  <w16cex:commentExtensible w16cex:durableId="2BF7D98E" w16cex:dateUtc="2026-05-20T15:06:00Z"/>
  <w16cex:commentExtensible w16cex:durableId="37082D7B" w16cex:dateUtc="2026-05-20T16:29:00Z"/>
  <w16cex:commentExtensible w16cex:durableId="5F43F900" w16cex:dateUtc="2026-05-19T20:31:00Z"/>
  <w16cex:commentExtensible w16cex:durableId="606CC678" w16cex:dateUtc="2026-05-19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515F00" w16cid:durableId="3FAA0F0D"/>
  <w16cid:commentId w16cid:paraId="165CC5EA" w16cid:durableId="57AFD121"/>
  <w16cid:commentId w16cid:paraId="4F871780" w16cid:durableId="66FF3D72"/>
  <w16cid:commentId w16cid:paraId="36677BC1" w16cid:durableId="0BB1924A"/>
  <w16cid:commentId w16cid:paraId="0AC43562" w16cid:durableId="3EE6ACDE"/>
  <w16cid:commentId w16cid:paraId="3D480605" w16cid:durableId="769E6B4D"/>
  <w16cid:commentId w16cid:paraId="49D4549F" w16cid:durableId="689305F2"/>
  <w16cid:commentId w16cid:paraId="2E3269FF" w16cid:durableId="7AD0D11F"/>
  <w16cid:commentId w16cid:paraId="1B506758" w16cid:durableId="290C7365"/>
  <w16cid:commentId w16cid:paraId="736DB2FF" w16cid:durableId="6085F9ED"/>
  <w16cid:commentId w16cid:paraId="2D29A9DA" w16cid:durableId="252D15E3"/>
  <w16cid:commentId w16cid:paraId="765C97B5" w16cid:durableId="3F071E0E"/>
  <w16cid:commentId w16cid:paraId="7A452608" w16cid:durableId="5C7EA880"/>
  <w16cid:commentId w16cid:paraId="09BA7692" w16cid:durableId="24C854A3"/>
  <w16cid:commentId w16cid:paraId="6E2AEE9D" w16cid:durableId="2BF7D98E"/>
  <w16cid:commentId w16cid:paraId="3DA9C843" w16cid:durableId="37082D7B"/>
  <w16cid:commentId w16cid:paraId="166B789A" w16cid:durableId="5F43F900"/>
  <w16cid:commentId w16cid:paraId="2E57F779" w16cid:durableId="606CC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BCF3" w14:textId="77777777" w:rsidR="00EB3BB7" w:rsidRDefault="00EB3BB7">
      <w:r>
        <w:separator/>
      </w:r>
    </w:p>
  </w:endnote>
  <w:endnote w:type="continuationSeparator" w:id="0">
    <w:p w14:paraId="70B13AD6" w14:textId="77777777" w:rsidR="00EB3BB7" w:rsidRDefault="00EB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351724" w14:paraId="1434D540" w14:textId="77777777" w:rsidTr="216E79E3">
      <w:trPr>
        <w:trHeight w:val="300"/>
      </w:trPr>
      <w:tc>
        <w:tcPr>
          <w:tcW w:w="3120" w:type="dxa"/>
        </w:tcPr>
        <w:p w14:paraId="4E975977" w14:textId="7DDF917F" w:rsidR="216E79E3" w:rsidRDefault="216E79E3" w:rsidP="216E79E3">
          <w:pPr>
            <w:pStyle w:val="Header"/>
            <w:ind w:left="-115"/>
          </w:pPr>
        </w:p>
      </w:tc>
      <w:tc>
        <w:tcPr>
          <w:tcW w:w="3120" w:type="dxa"/>
        </w:tcPr>
        <w:p w14:paraId="54142B0A" w14:textId="536792AE" w:rsidR="216E79E3" w:rsidRDefault="216E79E3" w:rsidP="216E79E3">
          <w:pPr>
            <w:pStyle w:val="Header"/>
            <w:jc w:val="center"/>
          </w:pPr>
        </w:p>
      </w:tc>
      <w:tc>
        <w:tcPr>
          <w:tcW w:w="3120" w:type="dxa"/>
        </w:tcPr>
        <w:p w14:paraId="1C206666" w14:textId="62FAD244" w:rsidR="216E79E3" w:rsidRDefault="216E79E3" w:rsidP="216E79E3">
          <w:pPr>
            <w:pStyle w:val="Header"/>
            <w:ind w:right="-115"/>
            <w:jc w:val="right"/>
          </w:pPr>
        </w:p>
      </w:tc>
    </w:tr>
  </w:tbl>
  <w:p w14:paraId="7A96CEB6" w14:textId="2DB81805" w:rsidR="216E79E3" w:rsidRDefault="216E79E3" w:rsidP="216E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05BE" w14:textId="77777777" w:rsidR="00EB3BB7" w:rsidRDefault="00EB3BB7">
      <w:r>
        <w:separator/>
      </w:r>
    </w:p>
  </w:footnote>
  <w:footnote w:type="continuationSeparator" w:id="0">
    <w:p w14:paraId="395EA1BA" w14:textId="77777777" w:rsidR="00EB3BB7" w:rsidRDefault="00EB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93D1" w14:textId="550FFD3A" w:rsidR="00881D61" w:rsidRDefault="00EB3BB7">
    <w:pPr>
      <w:pStyle w:val="Header"/>
    </w:pPr>
    <w:r>
      <w:rPr>
        <w:noProof/>
      </w:rPr>
      <w:pict w14:anchorId="6DBBD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8.85pt;height:200.75pt;rotation:315;z-index:-251658240;mso-wrap-edited:f;mso-width-percent:0;mso-height-percent:0;mso-position-horizontal:center;mso-position-horizontal-relative:margin;mso-position-vertical:center;mso-position-vertical-relative:margin;mso-width-percent:0;mso-height-percent:0" o:allowincell="f" fillcolor="#d86dcb [194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02C3" w14:textId="61728CDC" w:rsidR="00AF2361" w:rsidRDefault="005E2780">
    <w:pPr>
      <w:pBdr>
        <w:bottom w:val="single" w:sz="4" w:space="4" w:color="1F3864"/>
      </w:pBdr>
      <w:tabs>
        <w:tab w:val="right" w:pos="9360"/>
      </w:tabs>
    </w:pPr>
    <w:r>
      <w:rPr>
        <w:color w:val="595959"/>
        <w:sz w:val="18"/>
        <w:szCs w:val="18"/>
      </w:rPr>
      <w:t xml:space="preserve">Kansas State University – </w:t>
    </w:r>
    <w:r w:rsidR="00743FDC">
      <w:rPr>
        <w:color w:val="595959"/>
        <w:sz w:val="18"/>
        <w:szCs w:val="18"/>
      </w:rPr>
      <w:t xml:space="preserve">UHB </w:t>
    </w:r>
    <w:r w:rsidR="00E12F30">
      <w:rPr>
        <w:color w:val="595959"/>
        <w:sz w:val="18"/>
        <w:szCs w:val="18"/>
      </w:rPr>
      <w:t xml:space="preserve">Section C.25 - </w:t>
    </w:r>
    <w:r>
      <w:rPr>
        <w:color w:val="595959"/>
        <w:sz w:val="18"/>
        <w:szCs w:val="18"/>
      </w:rPr>
      <w:t>Syllabus Policy</w:t>
    </w:r>
    <w:r>
      <w:rPr>
        <w:color w:val="595959"/>
        <w:sz w:val="18"/>
        <w:szCs w:val="18"/>
      </w:rPr>
      <w:tab/>
    </w:r>
    <w:r>
      <w:rPr>
        <w:color w:val="595959"/>
        <w:sz w:val="18"/>
        <w:szCs w:val="18"/>
      </w:rPr>
      <w:fldChar w:fldCharType="begin"/>
    </w:r>
    <w:r>
      <w:rPr>
        <w:color w:val="595959"/>
        <w:sz w:val="18"/>
        <w:szCs w:val="18"/>
      </w:rPr>
      <w:instrText>PAGE</w:instrText>
    </w:r>
    <w:r>
      <w:rPr>
        <w:color w:val="595959"/>
        <w:sz w:val="18"/>
        <w:szCs w:val="18"/>
      </w:rPr>
      <w:fldChar w:fldCharType="separate"/>
    </w:r>
    <w:r w:rsidR="00915136">
      <w:rPr>
        <w:noProof/>
        <w:color w:val="595959"/>
        <w:sz w:val="18"/>
        <w:szCs w:val="18"/>
      </w:rPr>
      <w:t>4</w:t>
    </w:r>
    <w:r>
      <w:rPr>
        <w:color w:val="595959"/>
        <w:sz w:val="18"/>
        <w:szCs w:val="18"/>
      </w:rPr>
      <w:fldChar w:fldCharType="end"/>
    </w:r>
    <w:r w:rsidR="00EB3BB7">
      <w:rPr>
        <w:noProof/>
      </w:rPr>
      <w:pict w14:anchorId="1E7C7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58239;mso-wrap-edited:f;mso-width-percent:0;mso-height-percent:0;mso-position-horizontal:center;mso-position-horizontal-relative:margin;mso-position-vertical:center;mso-position-vertical-relative:margin;mso-width-percent:0;mso-height-percent:0" o:allowincell="f" fillcolor="#d86dcb [1944]"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629" w14:textId="0292B841" w:rsidR="00881D61" w:rsidRDefault="00EB3BB7">
    <w:pPr>
      <w:pStyle w:val="Header"/>
    </w:pPr>
    <w:r>
      <w:rPr>
        <w:noProof/>
      </w:rPr>
      <w:pict w14:anchorId="0DA28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58238;mso-wrap-edited:f;mso-width-percent:0;mso-height-percent:0;mso-position-horizontal:center;mso-position-horizontal-relative:margin;mso-position-vertical:center;mso-position-vertical-relative:margin;mso-width-percent:0;mso-height-percent:0" o:allowincell="f" fillcolor="#d86dcb [1944]"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2704"/>
    <w:multiLevelType w:val="hybridMultilevel"/>
    <w:tmpl w:val="F82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37372"/>
    <w:multiLevelType w:val="multilevel"/>
    <w:tmpl w:val="723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410C7"/>
    <w:multiLevelType w:val="hybridMultilevel"/>
    <w:tmpl w:val="A49A27CA"/>
    <w:lvl w:ilvl="0" w:tplc="B8D2F236">
      <w:start w:val="1"/>
      <w:numFmt w:val="bullet"/>
      <w:lvlText w:val="●"/>
      <w:lvlJc w:val="left"/>
      <w:pPr>
        <w:ind w:left="720" w:hanging="360"/>
      </w:pPr>
    </w:lvl>
    <w:lvl w:ilvl="1" w:tplc="99A03DFA">
      <w:start w:val="1"/>
      <w:numFmt w:val="bullet"/>
      <w:lvlText w:val="○"/>
      <w:lvlJc w:val="left"/>
      <w:pPr>
        <w:ind w:left="1440" w:hanging="360"/>
      </w:pPr>
    </w:lvl>
    <w:lvl w:ilvl="2" w:tplc="FA3EA41A">
      <w:start w:val="1"/>
      <w:numFmt w:val="bullet"/>
      <w:lvlText w:val="■"/>
      <w:lvlJc w:val="left"/>
      <w:pPr>
        <w:ind w:left="2160" w:hanging="360"/>
      </w:pPr>
    </w:lvl>
    <w:lvl w:ilvl="3" w:tplc="22D48444">
      <w:start w:val="1"/>
      <w:numFmt w:val="bullet"/>
      <w:lvlText w:val="●"/>
      <w:lvlJc w:val="left"/>
      <w:pPr>
        <w:ind w:left="2880" w:hanging="360"/>
      </w:pPr>
    </w:lvl>
    <w:lvl w:ilvl="4" w:tplc="BBDEC3B4">
      <w:start w:val="1"/>
      <w:numFmt w:val="bullet"/>
      <w:lvlText w:val="○"/>
      <w:lvlJc w:val="left"/>
      <w:pPr>
        <w:ind w:left="3600" w:hanging="360"/>
      </w:pPr>
    </w:lvl>
    <w:lvl w:ilvl="5" w:tplc="58D8B4DC">
      <w:start w:val="1"/>
      <w:numFmt w:val="bullet"/>
      <w:lvlText w:val="■"/>
      <w:lvlJc w:val="left"/>
      <w:pPr>
        <w:ind w:left="4320" w:hanging="360"/>
      </w:pPr>
    </w:lvl>
    <w:lvl w:ilvl="6" w:tplc="DDF48854">
      <w:start w:val="1"/>
      <w:numFmt w:val="bullet"/>
      <w:lvlText w:val="●"/>
      <w:lvlJc w:val="left"/>
      <w:pPr>
        <w:ind w:left="5040" w:hanging="360"/>
      </w:pPr>
    </w:lvl>
    <w:lvl w:ilvl="7" w:tplc="6A721D3E">
      <w:start w:val="1"/>
      <w:numFmt w:val="bullet"/>
      <w:lvlText w:val="●"/>
      <w:lvlJc w:val="left"/>
      <w:pPr>
        <w:ind w:left="5760" w:hanging="360"/>
      </w:pPr>
    </w:lvl>
    <w:lvl w:ilvl="8" w:tplc="19DC7050">
      <w:start w:val="1"/>
      <w:numFmt w:val="bullet"/>
      <w:lvlText w:val="●"/>
      <w:lvlJc w:val="left"/>
      <w:pPr>
        <w:ind w:left="6480" w:hanging="360"/>
      </w:pPr>
    </w:lvl>
  </w:abstractNum>
  <w:abstractNum w:abstractNumId="3" w15:restartNumberingAfterBreak="0">
    <w:nsid w:val="69220FBE"/>
    <w:multiLevelType w:val="multilevel"/>
    <w:tmpl w:val="2920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B713F"/>
    <w:multiLevelType w:val="hybridMultilevel"/>
    <w:tmpl w:val="79787760"/>
    <w:lvl w:ilvl="0" w:tplc="35F20BFA">
      <w:start w:val="1"/>
      <w:numFmt w:val="bullet"/>
      <w:lvlText w:val="●"/>
      <w:lvlJc w:val="left"/>
      <w:pPr>
        <w:ind w:left="720" w:hanging="360"/>
      </w:pPr>
    </w:lvl>
    <w:lvl w:ilvl="1" w:tplc="CD500242">
      <w:start w:val="1"/>
      <w:numFmt w:val="bullet"/>
      <w:lvlText w:val="○"/>
      <w:lvlJc w:val="left"/>
      <w:pPr>
        <w:ind w:left="1440" w:hanging="360"/>
      </w:pPr>
    </w:lvl>
    <w:lvl w:ilvl="2" w:tplc="DF5C6D34">
      <w:start w:val="1"/>
      <w:numFmt w:val="bullet"/>
      <w:lvlText w:val="■"/>
      <w:lvlJc w:val="left"/>
      <w:pPr>
        <w:ind w:left="2160" w:hanging="360"/>
      </w:pPr>
    </w:lvl>
    <w:lvl w:ilvl="3" w:tplc="E6C25A1E">
      <w:start w:val="1"/>
      <w:numFmt w:val="bullet"/>
      <w:lvlText w:val="●"/>
      <w:lvlJc w:val="left"/>
      <w:pPr>
        <w:ind w:left="2880" w:hanging="360"/>
      </w:pPr>
    </w:lvl>
    <w:lvl w:ilvl="4" w:tplc="A25C2B8E">
      <w:start w:val="1"/>
      <w:numFmt w:val="bullet"/>
      <w:lvlText w:val="○"/>
      <w:lvlJc w:val="left"/>
      <w:pPr>
        <w:ind w:left="3600" w:hanging="360"/>
      </w:pPr>
    </w:lvl>
    <w:lvl w:ilvl="5" w:tplc="754C5798">
      <w:start w:val="1"/>
      <w:numFmt w:val="bullet"/>
      <w:lvlText w:val="■"/>
      <w:lvlJc w:val="left"/>
      <w:pPr>
        <w:ind w:left="4320" w:hanging="360"/>
      </w:pPr>
    </w:lvl>
    <w:lvl w:ilvl="6" w:tplc="F88A7A2E">
      <w:start w:val="1"/>
      <w:numFmt w:val="bullet"/>
      <w:lvlText w:val="●"/>
      <w:lvlJc w:val="left"/>
      <w:pPr>
        <w:ind w:left="5040" w:hanging="360"/>
      </w:pPr>
    </w:lvl>
    <w:lvl w:ilvl="7" w:tplc="D9D8B766">
      <w:start w:val="1"/>
      <w:numFmt w:val="bullet"/>
      <w:lvlText w:val="●"/>
      <w:lvlJc w:val="left"/>
      <w:pPr>
        <w:ind w:left="5760" w:hanging="360"/>
      </w:pPr>
    </w:lvl>
    <w:lvl w:ilvl="8" w:tplc="768A017C">
      <w:start w:val="1"/>
      <w:numFmt w:val="bullet"/>
      <w:lvlText w:val="●"/>
      <w:lvlJc w:val="left"/>
      <w:pPr>
        <w:ind w:left="6480" w:hanging="360"/>
      </w:pPr>
    </w:lvl>
  </w:abstractNum>
  <w:abstractNum w:abstractNumId="5" w15:restartNumberingAfterBreak="0">
    <w:nsid w:val="7DEC27AB"/>
    <w:multiLevelType w:val="hybridMultilevel"/>
    <w:tmpl w:val="2EEA20BA"/>
    <w:lvl w:ilvl="0" w:tplc="C360D8D6">
      <w:start w:val="1"/>
      <w:numFmt w:val="bullet"/>
      <w:lvlText w:val="•"/>
      <w:lvlJc w:val="left"/>
      <w:pPr>
        <w:ind w:left="720" w:hanging="360"/>
      </w:pPr>
    </w:lvl>
    <w:lvl w:ilvl="1" w:tplc="01AEC8A6">
      <w:start w:val="1"/>
      <w:numFmt w:val="bullet"/>
      <w:lvlText w:val="○"/>
      <w:lvlJc w:val="left"/>
      <w:pPr>
        <w:ind w:left="1080" w:hanging="360"/>
      </w:pPr>
    </w:lvl>
    <w:lvl w:ilvl="2" w:tplc="3B50B974">
      <w:numFmt w:val="decimal"/>
      <w:lvlText w:val=""/>
      <w:lvlJc w:val="left"/>
    </w:lvl>
    <w:lvl w:ilvl="3" w:tplc="0A469C52">
      <w:numFmt w:val="decimal"/>
      <w:lvlText w:val=""/>
      <w:lvlJc w:val="left"/>
    </w:lvl>
    <w:lvl w:ilvl="4" w:tplc="A2680BC6">
      <w:numFmt w:val="decimal"/>
      <w:lvlText w:val=""/>
      <w:lvlJc w:val="left"/>
    </w:lvl>
    <w:lvl w:ilvl="5" w:tplc="18689BC2">
      <w:numFmt w:val="decimal"/>
      <w:lvlText w:val=""/>
      <w:lvlJc w:val="left"/>
    </w:lvl>
    <w:lvl w:ilvl="6" w:tplc="CEE22B90">
      <w:numFmt w:val="decimal"/>
      <w:lvlText w:val=""/>
      <w:lvlJc w:val="left"/>
    </w:lvl>
    <w:lvl w:ilvl="7" w:tplc="BBA068FE">
      <w:numFmt w:val="decimal"/>
      <w:lvlText w:val=""/>
      <w:lvlJc w:val="left"/>
    </w:lvl>
    <w:lvl w:ilvl="8" w:tplc="7276A650">
      <w:numFmt w:val="decimal"/>
      <w:lvlText w:val=""/>
      <w:lvlJc w:val="left"/>
    </w:lvl>
  </w:abstractNum>
  <w:num w:numId="1" w16cid:durableId="1231117928">
    <w:abstractNumId w:val="4"/>
    <w:lvlOverride w:ilvl="0">
      <w:startOverride w:val="1"/>
    </w:lvlOverride>
  </w:num>
  <w:num w:numId="2" w16cid:durableId="1422526060">
    <w:abstractNumId w:val="5"/>
    <w:lvlOverride w:ilvl="0">
      <w:startOverride w:val="1"/>
    </w:lvlOverride>
  </w:num>
  <w:num w:numId="3" w16cid:durableId="705759525">
    <w:abstractNumId w:val="0"/>
  </w:num>
  <w:num w:numId="4" w16cid:durableId="1495492131">
    <w:abstractNumId w:val="1"/>
  </w:num>
  <w:num w:numId="5" w16cid:durableId="519969851">
    <w:abstractNumId w:val="2"/>
    <w:lvlOverride w:ilvl="0">
      <w:startOverride w:val="1"/>
    </w:lvlOverride>
  </w:num>
  <w:num w:numId="6" w16cid:durableId="10375816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d Schwartz">
    <w15:presenceInfo w15:providerId="AD" w15:userId="S::cschwartz@ksu.edu::2ab0bf7d-ad17-4b0e-879a-b67648797f76"/>
  </w15:person>
  <w15:person w15:author="Margaret Mohr-Schroeder">
    <w15:presenceInfo w15:providerId="AD" w15:userId="S::mohrschroeder@ksu.edu::f236b0cc-57fd-4390-8cf0-c2adba89f582"/>
  </w15:person>
  <w15:person w15:author="Jennifer Bormann">
    <w15:presenceInfo w15:providerId="AD" w15:userId="S::jbormann@ksu.edu::23155341-7edc-41a6-a95b-2784077d804d"/>
  </w15:person>
  <w15:person w15:author="Barbara Anderson">
    <w15:presenceInfo w15:providerId="AD" w15:userId="S::barbara@ksu.edu::908a3136-f16d-4d08-b3c3-2568fce514dd"/>
  </w15:person>
  <w15:person w15:author="Elizabeth Dodd">
    <w15:presenceInfo w15:providerId="AD" w15:userId="S::edodd@ksu.edu::732498be-96fe-4e12-8baf-d5c3b7c34211"/>
  </w15:person>
  <w15:person w15:author="Julia Keen">
    <w15:presenceInfo w15:providerId="AD" w15:userId="S::jkeen@ksu.edu::fdd3bff4-4668-4e7c-8302-32b29d625c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61"/>
    <w:rsid w:val="000004D1"/>
    <w:rsid w:val="000007CE"/>
    <w:rsid w:val="00001511"/>
    <w:rsid w:val="000015B6"/>
    <w:rsid w:val="00001B86"/>
    <w:rsid w:val="00004656"/>
    <w:rsid w:val="000062F8"/>
    <w:rsid w:val="000076D7"/>
    <w:rsid w:val="000105E8"/>
    <w:rsid w:val="00010DEE"/>
    <w:rsid w:val="00011094"/>
    <w:rsid w:val="00011D5F"/>
    <w:rsid w:val="0001209B"/>
    <w:rsid w:val="000129E1"/>
    <w:rsid w:val="000139CA"/>
    <w:rsid w:val="0001402B"/>
    <w:rsid w:val="00014D01"/>
    <w:rsid w:val="00016F03"/>
    <w:rsid w:val="00021120"/>
    <w:rsid w:val="0002137E"/>
    <w:rsid w:val="00022B6C"/>
    <w:rsid w:val="0002300D"/>
    <w:rsid w:val="0002569B"/>
    <w:rsid w:val="00027490"/>
    <w:rsid w:val="000275C2"/>
    <w:rsid w:val="000302F2"/>
    <w:rsid w:val="00036668"/>
    <w:rsid w:val="00036BCE"/>
    <w:rsid w:val="0003768C"/>
    <w:rsid w:val="00041623"/>
    <w:rsid w:val="00041C6D"/>
    <w:rsid w:val="00042F0A"/>
    <w:rsid w:val="00046776"/>
    <w:rsid w:val="00047216"/>
    <w:rsid w:val="0004727D"/>
    <w:rsid w:val="0004746A"/>
    <w:rsid w:val="000477F8"/>
    <w:rsid w:val="00047A8B"/>
    <w:rsid w:val="0005181B"/>
    <w:rsid w:val="00057330"/>
    <w:rsid w:val="00060DB1"/>
    <w:rsid w:val="00061C24"/>
    <w:rsid w:val="00064073"/>
    <w:rsid w:val="00064C66"/>
    <w:rsid w:val="00065026"/>
    <w:rsid w:val="0006539B"/>
    <w:rsid w:val="000656F6"/>
    <w:rsid w:val="00065D56"/>
    <w:rsid w:val="00066AF9"/>
    <w:rsid w:val="000701E8"/>
    <w:rsid w:val="00070545"/>
    <w:rsid w:val="00070875"/>
    <w:rsid w:val="00070CE9"/>
    <w:rsid w:val="000710FC"/>
    <w:rsid w:val="00073B1B"/>
    <w:rsid w:val="0007464A"/>
    <w:rsid w:val="00075964"/>
    <w:rsid w:val="0007634B"/>
    <w:rsid w:val="0008046D"/>
    <w:rsid w:val="00081612"/>
    <w:rsid w:val="00083D8C"/>
    <w:rsid w:val="000929DB"/>
    <w:rsid w:val="00093987"/>
    <w:rsid w:val="00095CAB"/>
    <w:rsid w:val="000A238E"/>
    <w:rsid w:val="000A6D03"/>
    <w:rsid w:val="000A7BD4"/>
    <w:rsid w:val="000B14DC"/>
    <w:rsid w:val="000B1BAB"/>
    <w:rsid w:val="000B216B"/>
    <w:rsid w:val="000B2FE5"/>
    <w:rsid w:val="000B34BE"/>
    <w:rsid w:val="000B451E"/>
    <w:rsid w:val="000B5830"/>
    <w:rsid w:val="000B66E5"/>
    <w:rsid w:val="000B6FC2"/>
    <w:rsid w:val="000B7EC1"/>
    <w:rsid w:val="000C08BE"/>
    <w:rsid w:val="000C1047"/>
    <w:rsid w:val="000C1E37"/>
    <w:rsid w:val="000C20C9"/>
    <w:rsid w:val="000C3344"/>
    <w:rsid w:val="000C35B9"/>
    <w:rsid w:val="000C37FB"/>
    <w:rsid w:val="000C3EFC"/>
    <w:rsid w:val="000C49C8"/>
    <w:rsid w:val="000C53F0"/>
    <w:rsid w:val="000C5BF6"/>
    <w:rsid w:val="000C5ED6"/>
    <w:rsid w:val="000C640B"/>
    <w:rsid w:val="000D02E8"/>
    <w:rsid w:val="000D173B"/>
    <w:rsid w:val="000D22B9"/>
    <w:rsid w:val="000D2734"/>
    <w:rsid w:val="000D38F0"/>
    <w:rsid w:val="000D62E1"/>
    <w:rsid w:val="000D6838"/>
    <w:rsid w:val="000E0CCC"/>
    <w:rsid w:val="000E1B49"/>
    <w:rsid w:val="000E2CEA"/>
    <w:rsid w:val="000E394E"/>
    <w:rsid w:val="000E3994"/>
    <w:rsid w:val="000E3A76"/>
    <w:rsid w:val="000E3AA4"/>
    <w:rsid w:val="000E5602"/>
    <w:rsid w:val="000E638A"/>
    <w:rsid w:val="000E6E43"/>
    <w:rsid w:val="000E7350"/>
    <w:rsid w:val="000F16AF"/>
    <w:rsid w:val="000F18D0"/>
    <w:rsid w:val="000F27DD"/>
    <w:rsid w:val="000F34AF"/>
    <w:rsid w:val="000F3535"/>
    <w:rsid w:val="000F4233"/>
    <w:rsid w:val="000F49F0"/>
    <w:rsid w:val="000F4CF7"/>
    <w:rsid w:val="000F529C"/>
    <w:rsid w:val="000F646D"/>
    <w:rsid w:val="0010018B"/>
    <w:rsid w:val="00100906"/>
    <w:rsid w:val="001016BD"/>
    <w:rsid w:val="001025A2"/>
    <w:rsid w:val="001126B5"/>
    <w:rsid w:val="001126C9"/>
    <w:rsid w:val="00113997"/>
    <w:rsid w:val="0011419E"/>
    <w:rsid w:val="0011488E"/>
    <w:rsid w:val="001166F6"/>
    <w:rsid w:val="0011680D"/>
    <w:rsid w:val="001205E4"/>
    <w:rsid w:val="0012209A"/>
    <w:rsid w:val="0012450B"/>
    <w:rsid w:val="001251B9"/>
    <w:rsid w:val="00127451"/>
    <w:rsid w:val="001337D5"/>
    <w:rsid w:val="00134618"/>
    <w:rsid w:val="00140E7A"/>
    <w:rsid w:val="00140E97"/>
    <w:rsid w:val="00142455"/>
    <w:rsid w:val="00143C7F"/>
    <w:rsid w:val="001443DD"/>
    <w:rsid w:val="001464B2"/>
    <w:rsid w:val="0014739F"/>
    <w:rsid w:val="0014753F"/>
    <w:rsid w:val="0014754A"/>
    <w:rsid w:val="001475D6"/>
    <w:rsid w:val="00147B27"/>
    <w:rsid w:val="00150374"/>
    <w:rsid w:val="00150A11"/>
    <w:rsid w:val="001512D8"/>
    <w:rsid w:val="00151823"/>
    <w:rsid w:val="00156928"/>
    <w:rsid w:val="001727D9"/>
    <w:rsid w:val="00174C77"/>
    <w:rsid w:val="0017582E"/>
    <w:rsid w:val="00177EF0"/>
    <w:rsid w:val="00180B4F"/>
    <w:rsid w:val="00181087"/>
    <w:rsid w:val="001825D8"/>
    <w:rsid w:val="00182BA7"/>
    <w:rsid w:val="00184F16"/>
    <w:rsid w:val="00185E16"/>
    <w:rsid w:val="00187BD4"/>
    <w:rsid w:val="0019000C"/>
    <w:rsid w:val="001910A3"/>
    <w:rsid w:val="00194A25"/>
    <w:rsid w:val="001A2B98"/>
    <w:rsid w:val="001A415B"/>
    <w:rsid w:val="001A4322"/>
    <w:rsid w:val="001A434E"/>
    <w:rsid w:val="001A5FC0"/>
    <w:rsid w:val="001A64BD"/>
    <w:rsid w:val="001A6A8F"/>
    <w:rsid w:val="001A733E"/>
    <w:rsid w:val="001A7535"/>
    <w:rsid w:val="001B02AC"/>
    <w:rsid w:val="001B1241"/>
    <w:rsid w:val="001B2350"/>
    <w:rsid w:val="001B734C"/>
    <w:rsid w:val="001B751C"/>
    <w:rsid w:val="001C189F"/>
    <w:rsid w:val="001C377C"/>
    <w:rsid w:val="001C5272"/>
    <w:rsid w:val="001C5B5B"/>
    <w:rsid w:val="001C5E4E"/>
    <w:rsid w:val="001C7832"/>
    <w:rsid w:val="001C7E00"/>
    <w:rsid w:val="001D1072"/>
    <w:rsid w:val="001D13FE"/>
    <w:rsid w:val="001D337A"/>
    <w:rsid w:val="001D52C3"/>
    <w:rsid w:val="001D5F93"/>
    <w:rsid w:val="001D797C"/>
    <w:rsid w:val="001D7A6F"/>
    <w:rsid w:val="001D7AB9"/>
    <w:rsid w:val="001E1CCA"/>
    <w:rsid w:val="001E1E4F"/>
    <w:rsid w:val="001E3FDC"/>
    <w:rsid w:val="001E41C0"/>
    <w:rsid w:val="001E4B44"/>
    <w:rsid w:val="001E56BA"/>
    <w:rsid w:val="001E5F79"/>
    <w:rsid w:val="001E5FD9"/>
    <w:rsid w:val="001E6452"/>
    <w:rsid w:val="001E66C7"/>
    <w:rsid w:val="001E7162"/>
    <w:rsid w:val="001E7574"/>
    <w:rsid w:val="001E79C3"/>
    <w:rsid w:val="001E7FBB"/>
    <w:rsid w:val="001F0554"/>
    <w:rsid w:val="001F0997"/>
    <w:rsid w:val="001F0E8D"/>
    <w:rsid w:val="001F1E33"/>
    <w:rsid w:val="001F258A"/>
    <w:rsid w:val="001F337B"/>
    <w:rsid w:val="001F70BE"/>
    <w:rsid w:val="001F7FAA"/>
    <w:rsid w:val="00200BFC"/>
    <w:rsid w:val="00201951"/>
    <w:rsid w:val="00202841"/>
    <w:rsid w:val="0020365E"/>
    <w:rsid w:val="00206589"/>
    <w:rsid w:val="00206DC2"/>
    <w:rsid w:val="002071DD"/>
    <w:rsid w:val="0021188C"/>
    <w:rsid w:val="00212899"/>
    <w:rsid w:val="0021306A"/>
    <w:rsid w:val="00214108"/>
    <w:rsid w:val="00214D3A"/>
    <w:rsid w:val="00215319"/>
    <w:rsid w:val="002165A3"/>
    <w:rsid w:val="0022184D"/>
    <w:rsid w:val="00224FE3"/>
    <w:rsid w:val="00225E46"/>
    <w:rsid w:val="002269F4"/>
    <w:rsid w:val="00230145"/>
    <w:rsid w:val="00231163"/>
    <w:rsid w:val="002325C5"/>
    <w:rsid w:val="00233D92"/>
    <w:rsid w:val="002348C8"/>
    <w:rsid w:val="0023596F"/>
    <w:rsid w:val="00236808"/>
    <w:rsid w:val="0023795F"/>
    <w:rsid w:val="00237B30"/>
    <w:rsid w:val="00241325"/>
    <w:rsid w:val="00241CAD"/>
    <w:rsid w:val="00242A2A"/>
    <w:rsid w:val="002431BF"/>
    <w:rsid w:val="00243452"/>
    <w:rsid w:val="00243734"/>
    <w:rsid w:val="002459F2"/>
    <w:rsid w:val="002467CA"/>
    <w:rsid w:val="00246B31"/>
    <w:rsid w:val="00247680"/>
    <w:rsid w:val="002507FB"/>
    <w:rsid w:val="002521A4"/>
    <w:rsid w:val="002539CA"/>
    <w:rsid w:val="0025542A"/>
    <w:rsid w:val="002569B0"/>
    <w:rsid w:val="00256D9A"/>
    <w:rsid w:val="00260234"/>
    <w:rsid w:val="002614C2"/>
    <w:rsid w:val="00264D06"/>
    <w:rsid w:val="00264E48"/>
    <w:rsid w:val="002650F6"/>
    <w:rsid w:val="00265D78"/>
    <w:rsid w:val="00270592"/>
    <w:rsid w:val="00271104"/>
    <w:rsid w:val="00273CDE"/>
    <w:rsid w:val="00273D52"/>
    <w:rsid w:val="00276E91"/>
    <w:rsid w:val="002800EE"/>
    <w:rsid w:val="00281EB2"/>
    <w:rsid w:val="002869B4"/>
    <w:rsid w:val="00286E68"/>
    <w:rsid w:val="002870E4"/>
    <w:rsid w:val="00290343"/>
    <w:rsid w:val="002936E1"/>
    <w:rsid w:val="00295BA4"/>
    <w:rsid w:val="002967DD"/>
    <w:rsid w:val="002A0D71"/>
    <w:rsid w:val="002A1154"/>
    <w:rsid w:val="002A30AA"/>
    <w:rsid w:val="002A52DA"/>
    <w:rsid w:val="002A5A06"/>
    <w:rsid w:val="002A633B"/>
    <w:rsid w:val="002B0283"/>
    <w:rsid w:val="002B075A"/>
    <w:rsid w:val="002B124B"/>
    <w:rsid w:val="002B1F35"/>
    <w:rsid w:val="002B2620"/>
    <w:rsid w:val="002B2B9F"/>
    <w:rsid w:val="002B4813"/>
    <w:rsid w:val="002B7201"/>
    <w:rsid w:val="002C09B5"/>
    <w:rsid w:val="002C213B"/>
    <w:rsid w:val="002C2D19"/>
    <w:rsid w:val="002C3402"/>
    <w:rsid w:val="002C34F2"/>
    <w:rsid w:val="002C410A"/>
    <w:rsid w:val="002C443D"/>
    <w:rsid w:val="002C4CCC"/>
    <w:rsid w:val="002C6084"/>
    <w:rsid w:val="002C747F"/>
    <w:rsid w:val="002D2309"/>
    <w:rsid w:val="002D241B"/>
    <w:rsid w:val="002D2A52"/>
    <w:rsid w:val="002D4573"/>
    <w:rsid w:val="002D63BC"/>
    <w:rsid w:val="002E0E69"/>
    <w:rsid w:val="002E1292"/>
    <w:rsid w:val="002E1FA8"/>
    <w:rsid w:val="002E475E"/>
    <w:rsid w:val="002E601B"/>
    <w:rsid w:val="002E6EB0"/>
    <w:rsid w:val="002E75A6"/>
    <w:rsid w:val="002F03AC"/>
    <w:rsid w:val="002F0E0C"/>
    <w:rsid w:val="002F2086"/>
    <w:rsid w:val="002F2EB8"/>
    <w:rsid w:val="002F3A4D"/>
    <w:rsid w:val="002F58DC"/>
    <w:rsid w:val="002F75B0"/>
    <w:rsid w:val="003006A7"/>
    <w:rsid w:val="00300B93"/>
    <w:rsid w:val="00300CED"/>
    <w:rsid w:val="00301955"/>
    <w:rsid w:val="003055B8"/>
    <w:rsid w:val="00305F2C"/>
    <w:rsid w:val="003067FD"/>
    <w:rsid w:val="00307BB6"/>
    <w:rsid w:val="00307C90"/>
    <w:rsid w:val="00311498"/>
    <w:rsid w:val="003132D1"/>
    <w:rsid w:val="00314D0F"/>
    <w:rsid w:val="0031596D"/>
    <w:rsid w:val="00317472"/>
    <w:rsid w:val="0031758C"/>
    <w:rsid w:val="00317C91"/>
    <w:rsid w:val="003210A0"/>
    <w:rsid w:val="00321D6F"/>
    <w:rsid w:val="00322A53"/>
    <w:rsid w:val="003235BE"/>
    <w:rsid w:val="003244E9"/>
    <w:rsid w:val="00330E62"/>
    <w:rsid w:val="00333F2A"/>
    <w:rsid w:val="0033445D"/>
    <w:rsid w:val="003348C6"/>
    <w:rsid w:val="00337101"/>
    <w:rsid w:val="003373AF"/>
    <w:rsid w:val="00340EB3"/>
    <w:rsid w:val="0034281F"/>
    <w:rsid w:val="00345B39"/>
    <w:rsid w:val="0034630A"/>
    <w:rsid w:val="0034656C"/>
    <w:rsid w:val="00347311"/>
    <w:rsid w:val="003510B1"/>
    <w:rsid w:val="00351138"/>
    <w:rsid w:val="00351724"/>
    <w:rsid w:val="00351764"/>
    <w:rsid w:val="00353C2E"/>
    <w:rsid w:val="00356F80"/>
    <w:rsid w:val="003613A5"/>
    <w:rsid w:val="003615FF"/>
    <w:rsid w:val="003627A7"/>
    <w:rsid w:val="00362BE5"/>
    <w:rsid w:val="0036428E"/>
    <w:rsid w:val="00364718"/>
    <w:rsid w:val="00365F95"/>
    <w:rsid w:val="00366022"/>
    <w:rsid w:val="003662DE"/>
    <w:rsid w:val="003664F9"/>
    <w:rsid w:val="00366A9E"/>
    <w:rsid w:val="00367576"/>
    <w:rsid w:val="003701F7"/>
    <w:rsid w:val="00371906"/>
    <w:rsid w:val="00371A11"/>
    <w:rsid w:val="00371BBE"/>
    <w:rsid w:val="00373320"/>
    <w:rsid w:val="00373638"/>
    <w:rsid w:val="003742D5"/>
    <w:rsid w:val="00374842"/>
    <w:rsid w:val="00375749"/>
    <w:rsid w:val="00377189"/>
    <w:rsid w:val="003776BA"/>
    <w:rsid w:val="00377DF1"/>
    <w:rsid w:val="0038071A"/>
    <w:rsid w:val="0038270E"/>
    <w:rsid w:val="00382DFC"/>
    <w:rsid w:val="0038375C"/>
    <w:rsid w:val="00384534"/>
    <w:rsid w:val="00386C80"/>
    <w:rsid w:val="00387644"/>
    <w:rsid w:val="00387D5F"/>
    <w:rsid w:val="00391341"/>
    <w:rsid w:val="003914BD"/>
    <w:rsid w:val="0039268E"/>
    <w:rsid w:val="0039427F"/>
    <w:rsid w:val="003954CC"/>
    <w:rsid w:val="003964DE"/>
    <w:rsid w:val="0039690C"/>
    <w:rsid w:val="00397368"/>
    <w:rsid w:val="003A18E0"/>
    <w:rsid w:val="003A7533"/>
    <w:rsid w:val="003B093C"/>
    <w:rsid w:val="003B18A4"/>
    <w:rsid w:val="003B1F8F"/>
    <w:rsid w:val="003B2583"/>
    <w:rsid w:val="003B398D"/>
    <w:rsid w:val="003B3CC7"/>
    <w:rsid w:val="003B3FBF"/>
    <w:rsid w:val="003B422E"/>
    <w:rsid w:val="003B53ED"/>
    <w:rsid w:val="003B585F"/>
    <w:rsid w:val="003B5E24"/>
    <w:rsid w:val="003B63B0"/>
    <w:rsid w:val="003B7224"/>
    <w:rsid w:val="003B723E"/>
    <w:rsid w:val="003B736F"/>
    <w:rsid w:val="003C04AA"/>
    <w:rsid w:val="003C06C4"/>
    <w:rsid w:val="003C3297"/>
    <w:rsid w:val="003C397F"/>
    <w:rsid w:val="003C5E5C"/>
    <w:rsid w:val="003C70F9"/>
    <w:rsid w:val="003C79B7"/>
    <w:rsid w:val="003C7D26"/>
    <w:rsid w:val="003C7E22"/>
    <w:rsid w:val="003D0890"/>
    <w:rsid w:val="003D5A2C"/>
    <w:rsid w:val="003D7379"/>
    <w:rsid w:val="003D73E2"/>
    <w:rsid w:val="003E058F"/>
    <w:rsid w:val="003E10A5"/>
    <w:rsid w:val="003E15B2"/>
    <w:rsid w:val="003E1604"/>
    <w:rsid w:val="003E280B"/>
    <w:rsid w:val="003E3466"/>
    <w:rsid w:val="003E39E4"/>
    <w:rsid w:val="003E45F7"/>
    <w:rsid w:val="003E57A6"/>
    <w:rsid w:val="003E5D43"/>
    <w:rsid w:val="003E64F4"/>
    <w:rsid w:val="003E7406"/>
    <w:rsid w:val="003F002E"/>
    <w:rsid w:val="003F0957"/>
    <w:rsid w:val="003F13E2"/>
    <w:rsid w:val="003F481C"/>
    <w:rsid w:val="003F4DC5"/>
    <w:rsid w:val="003F4F97"/>
    <w:rsid w:val="003F6F68"/>
    <w:rsid w:val="003F73F0"/>
    <w:rsid w:val="00402C7C"/>
    <w:rsid w:val="00402FD9"/>
    <w:rsid w:val="00405A29"/>
    <w:rsid w:val="004067B2"/>
    <w:rsid w:val="00406CAD"/>
    <w:rsid w:val="004106CF"/>
    <w:rsid w:val="00410A60"/>
    <w:rsid w:val="004115CB"/>
    <w:rsid w:val="00416653"/>
    <w:rsid w:val="00420C7D"/>
    <w:rsid w:val="0042117C"/>
    <w:rsid w:val="00421DAE"/>
    <w:rsid w:val="004229E3"/>
    <w:rsid w:val="00422FF0"/>
    <w:rsid w:val="00424179"/>
    <w:rsid w:val="004245E9"/>
    <w:rsid w:val="00425527"/>
    <w:rsid w:val="0042625E"/>
    <w:rsid w:val="00427954"/>
    <w:rsid w:val="004304A7"/>
    <w:rsid w:val="004317E0"/>
    <w:rsid w:val="00431CDE"/>
    <w:rsid w:val="00431F00"/>
    <w:rsid w:val="004354CB"/>
    <w:rsid w:val="004365E7"/>
    <w:rsid w:val="00436A04"/>
    <w:rsid w:val="00442008"/>
    <w:rsid w:val="004436E6"/>
    <w:rsid w:val="00444041"/>
    <w:rsid w:val="004444EF"/>
    <w:rsid w:val="00444E43"/>
    <w:rsid w:val="00444E5F"/>
    <w:rsid w:val="00444EC7"/>
    <w:rsid w:val="004468AB"/>
    <w:rsid w:val="00451090"/>
    <w:rsid w:val="00453300"/>
    <w:rsid w:val="0045350A"/>
    <w:rsid w:val="00453861"/>
    <w:rsid w:val="00456478"/>
    <w:rsid w:val="0045735A"/>
    <w:rsid w:val="00457CCD"/>
    <w:rsid w:val="00457DDF"/>
    <w:rsid w:val="0046019A"/>
    <w:rsid w:val="00461343"/>
    <w:rsid w:val="004617C8"/>
    <w:rsid w:val="0046229E"/>
    <w:rsid w:val="00462C5B"/>
    <w:rsid w:val="00462D9D"/>
    <w:rsid w:val="00462F12"/>
    <w:rsid w:val="0046515D"/>
    <w:rsid w:val="0046525B"/>
    <w:rsid w:val="0046561F"/>
    <w:rsid w:val="00471C4D"/>
    <w:rsid w:val="0047287A"/>
    <w:rsid w:val="0047396A"/>
    <w:rsid w:val="00475909"/>
    <w:rsid w:val="00480396"/>
    <w:rsid w:val="00482033"/>
    <w:rsid w:val="0048413A"/>
    <w:rsid w:val="004849D9"/>
    <w:rsid w:val="00492AC1"/>
    <w:rsid w:val="0049312D"/>
    <w:rsid w:val="004934C0"/>
    <w:rsid w:val="00493B4F"/>
    <w:rsid w:val="00493F03"/>
    <w:rsid w:val="00494177"/>
    <w:rsid w:val="00494484"/>
    <w:rsid w:val="00495298"/>
    <w:rsid w:val="004A04E4"/>
    <w:rsid w:val="004A1506"/>
    <w:rsid w:val="004A191D"/>
    <w:rsid w:val="004A19BF"/>
    <w:rsid w:val="004A29D5"/>
    <w:rsid w:val="004A506C"/>
    <w:rsid w:val="004B3730"/>
    <w:rsid w:val="004B3C2F"/>
    <w:rsid w:val="004B3F14"/>
    <w:rsid w:val="004B58C7"/>
    <w:rsid w:val="004B5D69"/>
    <w:rsid w:val="004B7422"/>
    <w:rsid w:val="004B751B"/>
    <w:rsid w:val="004C038C"/>
    <w:rsid w:val="004C0410"/>
    <w:rsid w:val="004C1198"/>
    <w:rsid w:val="004C2242"/>
    <w:rsid w:val="004C2665"/>
    <w:rsid w:val="004C3BF6"/>
    <w:rsid w:val="004C3F00"/>
    <w:rsid w:val="004C5842"/>
    <w:rsid w:val="004C6735"/>
    <w:rsid w:val="004C6B80"/>
    <w:rsid w:val="004C727B"/>
    <w:rsid w:val="004C72D6"/>
    <w:rsid w:val="004C74C3"/>
    <w:rsid w:val="004D1309"/>
    <w:rsid w:val="004D199C"/>
    <w:rsid w:val="004D339C"/>
    <w:rsid w:val="004D36A1"/>
    <w:rsid w:val="004D3C93"/>
    <w:rsid w:val="004D4439"/>
    <w:rsid w:val="004D5444"/>
    <w:rsid w:val="004D6608"/>
    <w:rsid w:val="004D6C9E"/>
    <w:rsid w:val="004D703C"/>
    <w:rsid w:val="004D7790"/>
    <w:rsid w:val="004D7881"/>
    <w:rsid w:val="004E27C5"/>
    <w:rsid w:val="004E3496"/>
    <w:rsid w:val="004E397C"/>
    <w:rsid w:val="004E3E7E"/>
    <w:rsid w:val="004E44E4"/>
    <w:rsid w:val="004E44F9"/>
    <w:rsid w:val="004E7371"/>
    <w:rsid w:val="004E7ACC"/>
    <w:rsid w:val="004F1127"/>
    <w:rsid w:val="004F139C"/>
    <w:rsid w:val="004F1665"/>
    <w:rsid w:val="004F1BFB"/>
    <w:rsid w:val="004F4F5A"/>
    <w:rsid w:val="004F7ED4"/>
    <w:rsid w:val="005013E1"/>
    <w:rsid w:val="005016AB"/>
    <w:rsid w:val="005026BA"/>
    <w:rsid w:val="00504A38"/>
    <w:rsid w:val="00505D6B"/>
    <w:rsid w:val="0050752E"/>
    <w:rsid w:val="0051098C"/>
    <w:rsid w:val="005115CB"/>
    <w:rsid w:val="0051235C"/>
    <w:rsid w:val="00512B96"/>
    <w:rsid w:val="005135E7"/>
    <w:rsid w:val="00513DB6"/>
    <w:rsid w:val="00514395"/>
    <w:rsid w:val="0051550A"/>
    <w:rsid w:val="00515AFB"/>
    <w:rsid w:val="00515B91"/>
    <w:rsid w:val="00515E80"/>
    <w:rsid w:val="005217E0"/>
    <w:rsid w:val="00521A48"/>
    <w:rsid w:val="00522366"/>
    <w:rsid w:val="00523E93"/>
    <w:rsid w:val="0052541E"/>
    <w:rsid w:val="00525A23"/>
    <w:rsid w:val="00525B7D"/>
    <w:rsid w:val="005260C6"/>
    <w:rsid w:val="005275DB"/>
    <w:rsid w:val="00527A19"/>
    <w:rsid w:val="00530D83"/>
    <w:rsid w:val="005329E0"/>
    <w:rsid w:val="0053316E"/>
    <w:rsid w:val="00533305"/>
    <w:rsid w:val="00533612"/>
    <w:rsid w:val="00533634"/>
    <w:rsid w:val="005344AA"/>
    <w:rsid w:val="005401BD"/>
    <w:rsid w:val="0054036A"/>
    <w:rsid w:val="00540CEC"/>
    <w:rsid w:val="0054144F"/>
    <w:rsid w:val="005415D3"/>
    <w:rsid w:val="005439E8"/>
    <w:rsid w:val="00544746"/>
    <w:rsid w:val="0054490A"/>
    <w:rsid w:val="00544EE3"/>
    <w:rsid w:val="00546641"/>
    <w:rsid w:val="005510AD"/>
    <w:rsid w:val="00551930"/>
    <w:rsid w:val="00551BE4"/>
    <w:rsid w:val="005533C6"/>
    <w:rsid w:val="00553D9A"/>
    <w:rsid w:val="005548E1"/>
    <w:rsid w:val="00556865"/>
    <w:rsid w:val="0055698A"/>
    <w:rsid w:val="005575C8"/>
    <w:rsid w:val="00560055"/>
    <w:rsid w:val="00561799"/>
    <w:rsid w:val="005634DE"/>
    <w:rsid w:val="00564BC3"/>
    <w:rsid w:val="0056530F"/>
    <w:rsid w:val="0056581B"/>
    <w:rsid w:val="00565AA7"/>
    <w:rsid w:val="005677BB"/>
    <w:rsid w:val="005702CC"/>
    <w:rsid w:val="00570644"/>
    <w:rsid w:val="005733BF"/>
    <w:rsid w:val="00574A16"/>
    <w:rsid w:val="00574C92"/>
    <w:rsid w:val="00576908"/>
    <w:rsid w:val="00580350"/>
    <w:rsid w:val="00580C76"/>
    <w:rsid w:val="0058267A"/>
    <w:rsid w:val="005830A2"/>
    <w:rsid w:val="00583925"/>
    <w:rsid w:val="00584009"/>
    <w:rsid w:val="00584148"/>
    <w:rsid w:val="0058470C"/>
    <w:rsid w:val="00585A77"/>
    <w:rsid w:val="00586541"/>
    <w:rsid w:val="00586F64"/>
    <w:rsid w:val="00587C75"/>
    <w:rsid w:val="00590715"/>
    <w:rsid w:val="00590EEE"/>
    <w:rsid w:val="005914D1"/>
    <w:rsid w:val="00591EAF"/>
    <w:rsid w:val="00592791"/>
    <w:rsid w:val="0059317A"/>
    <w:rsid w:val="0059377F"/>
    <w:rsid w:val="005973FD"/>
    <w:rsid w:val="005A27AC"/>
    <w:rsid w:val="005A29E9"/>
    <w:rsid w:val="005A2AE0"/>
    <w:rsid w:val="005A37B3"/>
    <w:rsid w:val="005A4D0C"/>
    <w:rsid w:val="005A4F75"/>
    <w:rsid w:val="005A5471"/>
    <w:rsid w:val="005A56A4"/>
    <w:rsid w:val="005A7B0C"/>
    <w:rsid w:val="005B07DA"/>
    <w:rsid w:val="005B15B3"/>
    <w:rsid w:val="005B1961"/>
    <w:rsid w:val="005B20C2"/>
    <w:rsid w:val="005B5372"/>
    <w:rsid w:val="005B61BB"/>
    <w:rsid w:val="005B68E0"/>
    <w:rsid w:val="005B7679"/>
    <w:rsid w:val="005C3ECE"/>
    <w:rsid w:val="005C6C11"/>
    <w:rsid w:val="005D17D0"/>
    <w:rsid w:val="005D2EEA"/>
    <w:rsid w:val="005D3329"/>
    <w:rsid w:val="005D3BB1"/>
    <w:rsid w:val="005D4383"/>
    <w:rsid w:val="005D650F"/>
    <w:rsid w:val="005D68A5"/>
    <w:rsid w:val="005D6CD1"/>
    <w:rsid w:val="005D769D"/>
    <w:rsid w:val="005E01A4"/>
    <w:rsid w:val="005E028B"/>
    <w:rsid w:val="005E0992"/>
    <w:rsid w:val="005E0D00"/>
    <w:rsid w:val="005E19AA"/>
    <w:rsid w:val="005E1EA6"/>
    <w:rsid w:val="005E1F6B"/>
    <w:rsid w:val="005E2780"/>
    <w:rsid w:val="005E2BA8"/>
    <w:rsid w:val="005E435C"/>
    <w:rsid w:val="005E4828"/>
    <w:rsid w:val="005E4D20"/>
    <w:rsid w:val="005E5BC7"/>
    <w:rsid w:val="005E6CB2"/>
    <w:rsid w:val="005E6DEB"/>
    <w:rsid w:val="005E7555"/>
    <w:rsid w:val="005F0025"/>
    <w:rsid w:val="005F06BA"/>
    <w:rsid w:val="005F1695"/>
    <w:rsid w:val="005F302A"/>
    <w:rsid w:val="005F349B"/>
    <w:rsid w:val="005F4EE9"/>
    <w:rsid w:val="005F6741"/>
    <w:rsid w:val="005F730E"/>
    <w:rsid w:val="00601AEE"/>
    <w:rsid w:val="00606C9F"/>
    <w:rsid w:val="00607175"/>
    <w:rsid w:val="006124C1"/>
    <w:rsid w:val="006129D5"/>
    <w:rsid w:val="00612AE4"/>
    <w:rsid w:val="00617052"/>
    <w:rsid w:val="00617B6E"/>
    <w:rsid w:val="00617E22"/>
    <w:rsid w:val="0062117F"/>
    <w:rsid w:val="006234A0"/>
    <w:rsid w:val="00624086"/>
    <w:rsid w:val="00624313"/>
    <w:rsid w:val="0062432D"/>
    <w:rsid w:val="00624AE3"/>
    <w:rsid w:val="00625CF5"/>
    <w:rsid w:val="00627DB3"/>
    <w:rsid w:val="006311E9"/>
    <w:rsid w:val="0063152B"/>
    <w:rsid w:val="00631E2D"/>
    <w:rsid w:val="00632EF7"/>
    <w:rsid w:val="006342CB"/>
    <w:rsid w:val="006347B5"/>
    <w:rsid w:val="00634B4B"/>
    <w:rsid w:val="00635A47"/>
    <w:rsid w:val="00636CDC"/>
    <w:rsid w:val="00636EEA"/>
    <w:rsid w:val="00637523"/>
    <w:rsid w:val="00637D59"/>
    <w:rsid w:val="00637DE1"/>
    <w:rsid w:val="0064063A"/>
    <w:rsid w:val="00641659"/>
    <w:rsid w:val="0064385E"/>
    <w:rsid w:val="0064448C"/>
    <w:rsid w:val="00645326"/>
    <w:rsid w:val="0064532E"/>
    <w:rsid w:val="00645B7E"/>
    <w:rsid w:val="006469EF"/>
    <w:rsid w:val="00653BCE"/>
    <w:rsid w:val="006558DD"/>
    <w:rsid w:val="006571E1"/>
    <w:rsid w:val="006574D2"/>
    <w:rsid w:val="00657621"/>
    <w:rsid w:val="00657B3E"/>
    <w:rsid w:val="006617DC"/>
    <w:rsid w:val="00661F23"/>
    <w:rsid w:val="00663377"/>
    <w:rsid w:val="006637AD"/>
    <w:rsid w:val="00664AE3"/>
    <w:rsid w:val="00664B35"/>
    <w:rsid w:val="006661B9"/>
    <w:rsid w:val="0066656B"/>
    <w:rsid w:val="00667D4E"/>
    <w:rsid w:val="00671350"/>
    <w:rsid w:val="00672570"/>
    <w:rsid w:val="006742F2"/>
    <w:rsid w:val="006749EC"/>
    <w:rsid w:val="00674BE0"/>
    <w:rsid w:val="0067507D"/>
    <w:rsid w:val="006753E3"/>
    <w:rsid w:val="00680461"/>
    <w:rsid w:val="00680984"/>
    <w:rsid w:val="00681D65"/>
    <w:rsid w:val="00683F47"/>
    <w:rsid w:val="006858B5"/>
    <w:rsid w:val="00687DFA"/>
    <w:rsid w:val="0069158C"/>
    <w:rsid w:val="00692098"/>
    <w:rsid w:val="00692BBF"/>
    <w:rsid w:val="00694684"/>
    <w:rsid w:val="00696A74"/>
    <w:rsid w:val="006A02A1"/>
    <w:rsid w:val="006A36E3"/>
    <w:rsid w:val="006A4156"/>
    <w:rsid w:val="006A432C"/>
    <w:rsid w:val="006A60C2"/>
    <w:rsid w:val="006A6DCF"/>
    <w:rsid w:val="006A746F"/>
    <w:rsid w:val="006B2AAD"/>
    <w:rsid w:val="006B6D11"/>
    <w:rsid w:val="006B6FA7"/>
    <w:rsid w:val="006B73E5"/>
    <w:rsid w:val="006C4499"/>
    <w:rsid w:val="006C4F3D"/>
    <w:rsid w:val="006C501A"/>
    <w:rsid w:val="006C5021"/>
    <w:rsid w:val="006C58D9"/>
    <w:rsid w:val="006C7076"/>
    <w:rsid w:val="006C757D"/>
    <w:rsid w:val="006C7DAA"/>
    <w:rsid w:val="006C7EE3"/>
    <w:rsid w:val="006D3386"/>
    <w:rsid w:val="006D5D06"/>
    <w:rsid w:val="006D5D7B"/>
    <w:rsid w:val="006D5F0C"/>
    <w:rsid w:val="006D5F9E"/>
    <w:rsid w:val="006D6491"/>
    <w:rsid w:val="006D64DC"/>
    <w:rsid w:val="006D7062"/>
    <w:rsid w:val="006D7EF0"/>
    <w:rsid w:val="006E2394"/>
    <w:rsid w:val="006E2FF9"/>
    <w:rsid w:val="006E32B0"/>
    <w:rsid w:val="006E39A2"/>
    <w:rsid w:val="006E6A4B"/>
    <w:rsid w:val="006E71C1"/>
    <w:rsid w:val="006E7E91"/>
    <w:rsid w:val="006F0D37"/>
    <w:rsid w:val="006F1984"/>
    <w:rsid w:val="006F3EF7"/>
    <w:rsid w:val="006F4293"/>
    <w:rsid w:val="006F5DA7"/>
    <w:rsid w:val="006F78BC"/>
    <w:rsid w:val="00700C33"/>
    <w:rsid w:val="00700F96"/>
    <w:rsid w:val="00701E1B"/>
    <w:rsid w:val="007036C9"/>
    <w:rsid w:val="00703D93"/>
    <w:rsid w:val="00705F97"/>
    <w:rsid w:val="00710CF3"/>
    <w:rsid w:val="00710D6C"/>
    <w:rsid w:val="00710F5A"/>
    <w:rsid w:val="00710FA0"/>
    <w:rsid w:val="00711122"/>
    <w:rsid w:val="0071324D"/>
    <w:rsid w:val="00713FD9"/>
    <w:rsid w:val="0071411F"/>
    <w:rsid w:val="007147DB"/>
    <w:rsid w:val="007152E4"/>
    <w:rsid w:val="00717A48"/>
    <w:rsid w:val="00722041"/>
    <w:rsid w:val="007226D5"/>
    <w:rsid w:val="007227E7"/>
    <w:rsid w:val="00723BDC"/>
    <w:rsid w:val="00724934"/>
    <w:rsid w:val="00726A01"/>
    <w:rsid w:val="00726E48"/>
    <w:rsid w:val="00727ACC"/>
    <w:rsid w:val="007300F0"/>
    <w:rsid w:val="00732333"/>
    <w:rsid w:val="00736183"/>
    <w:rsid w:val="0073752F"/>
    <w:rsid w:val="0073788E"/>
    <w:rsid w:val="00737CA2"/>
    <w:rsid w:val="00737FD4"/>
    <w:rsid w:val="00741CCE"/>
    <w:rsid w:val="00742D0B"/>
    <w:rsid w:val="00743175"/>
    <w:rsid w:val="00743474"/>
    <w:rsid w:val="00743FDC"/>
    <w:rsid w:val="00744A8C"/>
    <w:rsid w:val="00744D8E"/>
    <w:rsid w:val="007456F7"/>
    <w:rsid w:val="00745DBB"/>
    <w:rsid w:val="007464C9"/>
    <w:rsid w:val="00747004"/>
    <w:rsid w:val="007470C4"/>
    <w:rsid w:val="00747574"/>
    <w:rsid w:val="007477AD"/>
    <w:rsid w:val="0075002F"/>
    <w:rsid w:val="00750B01"/>
    <w:rsid w:val="00750C82"/>
    <w:rsid w:val="00751417"/>
    <w:rsid w:val="00751DE3"/>
    <w:rsid w:val="007520CA"/>
    <w:rsid w:val="007527C8"/>
    <w:rsid w:val="00752CFF"/>
    <w:rsid w:val="00753378"/>
    <w:rsid w:val="00755996"/>
    <w:rsid w:val="00757D99"/>
    <w:rsid w:val="0076267F"/>
    <w:rsid w:val="00766655"/>
    <w:rsid w:val="00766737"/>
    <w:rsid w:val="00766E7C"/>
    <w:rsid w:val="00767EBE"/>
    <w:rsid w:val="0077021C"/>
    <w:rsid w:val="00771AD5"/>
    <w:rsid w:val="00771CFD"/>
    <w:rsid w:val="00772BC6"/>
    <w:rsid w:val="007750F3"/>
    <w:rsid w:val="00775C55"/>
    <w:rsid w:val="00777017"/>
    <w:rsid w:val="00780DE3"/>
    <w:rsid w:val="00782636"/>
    <w:rsid w:val="007850EC"/>
    <w:rsid w:val="00791B0F"/>
    <w:rsid w:val="00791D42"/>
    <w:rsid w:val="00792379"/>
    <w:rsid w:val="00792EC7"/>
    <w:rsid w:val="00793D28"/>
    <w:rsid w:val="00793DF5"/>
    <w:rsid w:val="00794D14"/>
    <w:rsid w:val="0079741A"/>
    <w:rsid w:val="00797B18"/>
    <w:rsid w:val="007A3996"/>
    <w:rsid w:val="007A51AB"/>
    <w:rsid w:val="007A5BB6"/>
    <w:rsid w:val="007A5F23"/>
    <w:rsid w:val="007A66F5"/>
    <w:rsid w:val="007A6B1E"/>
    <w:rsid w:val="007A766C"/>
    <w:rsid w:val="007A7E5A"/>
    <w:rsid w:val="007B13ED"/>
    <w:rsid w:val="007B2EA2"/>
    <w:rsid w:val="007B3007"/>
    <w:rsid w:val="007B33C3"/>
    <w:rsid w:val="007B606C"/>
    <w:rsid w:val="007B68AD"/>
    <w:rsid w:val="007B6F19"/>
    <w:rsid w:val="007B76B9"/>
    <w:rsid w:val="007B7EAD"/>
    <w:rsid w:val="007C18F5"/>
    <w:rsid w:val="007C1A0A"/>
    <w:rsid w:val="007C3E9E"/>
    <w:rsid w:val="007C5043"/>
    <w:rsid w:val="007C5613"/>
    <w:rsid w:val="007D132F"/>
    <w:rsid w:val="007D403E"/>
    <w:rsid w:val="007D4CFA"/>
    <w:rsid w:val="007D504F"/>
    <w:rsid w:val="007D66A9"/>
    <w:rsid w:val="007D704F"/>
    <w:rsid w:val="007D730A"/>
    <w:rsid w:val="007E02E9"/>
    <w:rsid w:val="007E0C17"/>
    <w:rsid w:val="007E2E4C"/>
    <w:rsid w:val="007E2F3B"/>
    <w:rsid w:val="007E2F90"/>
    <w:rsid w:val="007E58AD"/>
    <w:rsid w:val="007E5A5C"/>
    <w:rsid w:val="007F038C"/>
    <w:rsid w:val="007F047E"/>
    <w:rsid w:val="007F0D59"/>
    <w:rsid w:val="007F1A46"/>
    <w:rsid w:val="007F2373"/>
    <w:rsid w:val="007F3CF3"/>
    <w:rsid w:val="007F3D50"/>
    <w:rsid w:val="007F494F"/>
    <w:rsid w:val="007F4C26"/>
    <w:rsid w:val="007F5B6A"/>
    <w:rsid w:val="007F647D"/>
    <w:rsid w:val="007F6596"/>
    <w:rsid w:val="007F6A8B"/>
    <w:rsid w:val="007F7172"/>
    <w:rsid w:val="007F7C5C"/>
    <w:rsid w:val="00800327"/>
    <w:rsid w:val="00800D40"/>
    <w:rsid w:val="00801708"/>
    <w:rsid w:val="0080399C"/>
    <w:rsid w:val="00804089"/>
    <w:rsid w:val="00805414"/>
    <w:rsid w:val="00806C36"/>
    <w:rsid w:val="00806D66"/>
    <w:rsid w:val="008101C4"/>
    <w:rsid w:val="00810ABC"/>
    <w:rsid w:val="00811690"/>
    <w:rsid w:val="0081295A"/>
    <w:rsid w:val="00813248"/>
    <w:rsid w:val="0081795D"/>
    <w:rsid w:val="00817B42"/>
    <w:rsid w:val="00820278"/>
    <w:rsid w:val="0082048A"/>
    <w:rsid w:val="0082066F"/>
    <w:rsid w:val="0082423D"/>
    <w:rsid w:val="008258D6"/>
    <w:rsid w:val="008264F7"/>
    <w:rsid w:val="00831892"/>
    <w:rsid w:val="00833502"/>
    <w:rsid w:val="008346D6"/>
    <w:rsid w:val="0083576F"/>
    <w:rsid w:val="00835924"/>
    <w:rsid w:val="0083713E"/>
    <w:rsid w:val="00837524"/>
    <w:rsid w:val="00843861"/>
    <w:rsid w:val="00844F12"/>
    <w:rsid w:val="008454CE"/>
    <w:rsid w:val="00845AC7"/>
    <w:rsid w:val="008504B8"/>
    <w:rsid w:val="00850743"/>
    <w:rsid w:val="00851FB8"/>
    <w:rsid w:val="008535B7"/>
    <w:rsid w:val="0085417E"/>
    <w:rsid w:val="00855351"/>
    <w:rsid w:val="00855D14"/>
    <w:rsid w:val="00856230"/>
    <w:rsid w:val="0085651A"/>
    <w:rsid w:val="008565B4"/>
    <w:rsid w:val="0085719F"/>
    <w:rsid w:val="008573C4"/>
    <w:rsid w:val="00860446"/>
    <w:rsid w:val="008608F3"/>
    <w:rsid w:val="008616A7"/>
    <w:rsid w:val="0086199D"/>
    <w:rsid w:val="00861A08"/>
    <w:rsid w:val="0086296E"/>
    <w:rsid w:val="008633D5"/>
    <w:rsid w:val="00864F3B"/>
    <w:rsid w:val="0086505B"/>
    <w:rsid w:val="008651CC"/>
    <w:rsid w:val="008668F7"/>
    <w:rsid w:val="00877BBA"/>
    <w:rsid w:val="00881D61"/>
    <w:rsid w:val="00882EAE"/>
    <w:rsid w:val="00886E88"/>
    <w:rsid w:val="00886ED1"/>
    <w:rsid w:val="00893AAC"/>
    <w:rsid w:val="00894924"/>
    <w:rsid w:val="008A08D2"/>
    <w:rsid w:val="008A0B4A"/>
    <w:rsid w:val="008A139E"/>
    <w:rsid w:val="008A2FFC"/>
    <w:rsid w:val="008A49A7"/>
    <w:rsid w:val="008A6825"/>
    <w:rsid w:val="008A79FE"/>
    <w:rsid w:val="008B1E30"/>
    <w:rsid w:val="008B2C4D"/>
    <w:rsid w:val="008B2EBD"/>
    <w:rsid w:val="008B573D"/>
    <w:rsid w:val="008B6BFB"/>
    <w:rsid w:val="008B6F39"/>
    <w:rsid w:val="008B7CF7"/>
    <w:rsid w:val="008C05DA"/>
    <w:rsid w:val="008C0BB7"/>
    <w:rsid w:val="008C2E05"/>
    <w:rsid w:val="008C559F"/>
    <w:rsid w:val="008C584A"/>
    <w:rsid w:val="008C63AB"/>
    <w:rsid w:val="008C74B6"/>
    <w:rsid w:val="008C7FFE"/>
    <w:rsid w:val="008D1AB5"/>
    <w:rsid w:val="008D2014"/>
    <w:rsid w:val="008D5597"/>
    <w:rsid w:val="008D5803"/>
    <w:rsid w:val="008D6A1A"/>
    <w:rsid w:val="008E017C"/>
    <w:rsid w:val="008E10CA"/>
    <w:rsid w:val="008E498F"/>
    <w:rsid w:val="008E584B"/>
    <w:rsid w:val="008E6512"/>
    <w:rsid w:val="008E697B"/>
    <w:rsid w:val="008E7EE5"/>
    <w:rsid w:val="008F0419"/>
    <w:rsid w:val="008F1B7E"/>
    <w:rsid w:val="008F3528"/>
    <w:rsid w:val="008F3543"/>
    <w:rsid w:val="008F4FCA"/>
    <w:rsid w:val="008F5476"/>
    <w:rsid w:val="008F6A06"/>
    <w:rsid w:val="008F774A"/>
    <w:rsid w:val="00900924"/>
    <w:rsid w:val="009011FC"/>
    <w:rsid w:val="00902E10"/>
    <w:rsid w:val="0090692E"/>
    <w:rsid w:val="00906C80"/>
    <w:rsid w:val="00907945"/>
    <w:rsid w:val="00911217"/>
    <w:rsid w:val="00912436"/>
    <w:rsid w:val="00912CB5"/>
    <w:rsid w:val="00915136"/>
    <w:rsid w:val="0091518D"/>
    <w:rsid w:val="00915E8E"/>
    <w:rsid w:val="00916215"/>
    <w:rsid w:val="0092086D"/>
    <w:rsid w:val="00920B32"/>
    <w:rsid w:val="00922A72"/>
    <w:rsid w:val="00923196"/>
    <w:rsid w:val="00923BF9"/>
    <w:rsid w:val="00923FE5"/>
    <w:rsid w:val="00924E54"/>
    <w:rsid w:val="00925685"/>
    <w:rsid w:val="00925905"/>
    <w:rsid w:val="009264E2"/>
    <w:rsid w:val="00926DEB"/>
    <w:rsid w:val="009335C9"/>
    <w:rsid w:val="0093378C"/>
    <w:rsid w:val="00936815"/>
    <w:rsid w:val="00936AF2"/>
    <w:rsid w:val="00936F01"/>
    <w:rsid w:val="00941702"/>
    <w:rsid w:val="00942EC4"/>
    <w:rsid w:val="00942FE4"/>
    <w:rsid w:val="00944184"/>
    <w:rsid w:val="00944C99"/>
    <w:rsid w:val="009453F1"/>
    <w:rsid w:val="0094563A"/>
    <w:rsid w:val="009512B0"/>
    <w:rsid w:val="009513B8"/>
    <w:rsid w:val="00951A6B"/>
    <w:rsid w:val="00952859"/>
    <w:rsid w:val="00954F0C"/>
    <w:rsid w:val="009550C0"/>
    <w:rsid w:val="00955800"/>
    <w:rsid w:val="00957FAC"/>
    <w:rsid w:val="00960907"/>
    <w:rsid w:val="00963378"/>
    <w:rsid w:val="00965D02"/>
    <w:rsid w:val="00966B3E"/>
    <w:rsid w:val="009678A5"/>
    <w:rsid w:val="00970278"/>
    <w:rsid w:val="00970493"/>
    <w:rsid w:val="009708CE"/>
    <w:rsid w:val="00970D5C"/>
    <w:rsid w:val="00970E45"/>
    <w:rsid w:val="00970F84"/>
    <w:rsid w:val="00971385"/>
    <w:rsid w:val="00974136"/>
    <w:rsid w:val="0097502F"/>
    <w:rsid w:val="009758E7"/>
    <w:rsid w:val="00977088"/>
    <w:rsid w:val="00980D54"/>
    <w:rsid w:val="0098190E"/>
    <w:rsid w:val="009832C5"/>
    <w:rsid w:val="00986135"/>
    <w:rsid w:val="00986824"/>
    <w:rsid w:val="0098712F"/>
    <w:rsid w:val="00987E80"/>
    <w:rsid w:val="009901F5"/>
    <w:rsid w:val="00990447"/>
    <w:rsid w:val="009914B1"/>
    <w:rsid w:val="00992C2D"/>
    <w:rsid w:val="00992DE3"/>
    <w:rsid w:val="00996D7A"/>
    <w:rsid w:val="00996EA7"/>
    <w:rsid w:val="00997347"/>
    <w:rsid w:val="009A1165"/>
    <w:rsid w:val="009A1F42"/>
    <w:rsid w:val="009A20D9"/>
    <w:rsid w:val="009A22F0"/>
    <w:rsid w:val="009A230A"/>
    <w:rsid w:val="009A293F"/>
    <w:rsid w:val="009A2CE3"/>
    <w:rsid w:val="009A3ABB"/>
    <w:rsid w:val="009A3F11"/>
    <w:rsid w:val="009A4D29"/>
    <w:rsid w:val="009A549C"/>
    <w:rsid w:val="009A5E02"/>
    <w:rsid w:val="009A6FBE"/>
    <w:rsid w:val="009A7488"/>
    <w:rsid w:val="009A7904"/>
    <w:rsid w:val="009B0857"/>
    <w:rsid w:val="009B1D08"/>
    <w:rsid w:val="009B4114"/>
    <w:rsid w:val="009B4681"/>
    <w:rsid w:val="009B5BAE"/>
    <w:rsid w:val="009B5C3D"/>
    <w:rsid w:val="009B74E4"/>
    <w:rsid w:val="009B7991"/>
    <w:rsid w:val="009B7995"/>
    <w:rsid w:val="009C01AA"/>
    <w:rsid w:val="009C0C50"/>
    <w:rsid w:val="009C2EFA"/>
    <w:rsid w:val="009C384B"/>
    <w:rsid w:val="009C5B46"/>
    <w:rsid w:val="009C70A9"/>
    <w:rsid w:val="009C7157"/>
    <w:rsid w:val="009C731D"/>
    <w:rsid w:val="009C7665"/>
    <w:rsid w:val="009C76D5"/>
    <w:rsid w:val="009D1297"/>
    <w:rsid w:val="009D1AA9"/>
    <w:rsid w:val="009D219F"/>
    <w:rsid w:val="009D2824"/>
    <w:rsid w:val="009D2BF8"/>
    <w:rsid w:val="009D3467"/>
    <w:rsid w:val="009D4BB8"/>
    <w:rsid w:val="009D5138"/>
    <w:rsid w:val="009D52F7"/>
    <w:rsid w:val="009D6997"/>
    <w:rsid w:val="009D7884"/>
    <w:rsid w:val="009D7BD8"/>
    <w:rsid w:val="009E1367"/>
    <w:rsid w:val="009E1C81"/>
    <w:rsid w:val="009E1CC1"/>
    <w:rsid w:val="009E232B"/>
    <w:rsid w:val="009E3C85"/>
    <w:rsid w:val="009E68B6"/>
    <w:rsid w:val="009E6C97"/>
    <w:rsid w:val="009E7863"/>
    <w:rsid w:val="009F0CA6"/>
    <w:rsid w:val="009F23EB"/>
    <w:rsid w:val="009F3569"/>
    <w:rsid w:val="009F4616"/>
    <w:rsid w:val="009F4A7D"/>
    <w:rsid w:val="009F4FDF"/>
    <w:rsid w:val="009F5E2A"/>
    <w:rsid w:val="009F6BAF"/>
    <w:rsid w:val="009F7067"/>
    <w:rsid w:val="00A0067B"/>
    <w:rsid w:val="00A017A2"/>
    <w:rsid w:val="00A02627"/>
    <w:rsid w:val="00A03D9F"/>
    <w:rsid w:val="00A0614D"/>
    <w:rsid w:val="00A06AF7"/>
    <w:rsid w:val="00A10744"/>
    <w:rsid w:val="00A10D4D"/>
    <w:rsid w:val="00A11946"/>
    <w:rsid w:val="00A12508"/>
    <w:rsid w:val="00A13DA0"/>
    <w:rsid w:val="00A152F3"/>
    <w:rsid w:val="00A15D6E"/>
    <w:rsid w:val="00A17E67"/>
    <w:rsid w:val="00A21A07"/>
    <w:rsid w:val="00A22D84"/>
    <w:rsid w:val="00A24586"/>
    <w:rsid w:val="00A278AD"/>
    <w:rsid w:val="00A27A41"/>
    <w:rsid w:val="00A31135"/>
    <w:rsid w:val="00A31577"/>
    <w:rsid w:val="00A3182C"/>
    <w:rsid w:val="00A32236"/>
    <w:rsid w:val="00A32451"/>
    <w:rsid w:val="00A3304A"/>
    <w:rsid w:val="00A335DD"/>
    <w:rsid w:val="00A33742"/>
    <w:rsid w:val="00A34F57"/>
    <w:rsid w:val="00A36220"/>
    <w:rsid w:val="00A36441"/>
    <w:rsid w:val="00A41137"/>
    <w:rsid w:val="00A4347A"/>
    <w:rsid w:val="00A43957"/>
    <w:rsid w:val="00A44260"/>
    <w:rsid w:val="00A44566"/>
    <w:rsid w:val="00A44DA8"/>
    <w:rsid w:val="00A47DF0"/>
    <w:rsid w:val="00A47F53"/>
    <w:rsid w:val="00A51DE6"/>
    <w:rsid w:val="00A53114"/>
    <w:rsid w:val="00A537F0"/>
    <w:rsid w:val="00A537F1"/>
    <w:rsid w:val="00A5679D"/>
    <w:rsid w:val="00A5694D"/>
    <w:rsid w:val="00A60286"/>
    <w:rsid w:val="00A61806"/>
    <w:rsid w:val="00A61FAF"/>
    <w:rsid w:val="00A62BA9"/>
    <w:rsid w:val="00A63697"/>
    <w:rsid w:val="00A640E1"/>
    <w:rsid w:val="00A656EA"/>
    <w:rsid w:val="00A65811"/>
    <w:rsid w:val="00A66851"/>
    <w:rsid w:val="00A6695F"/>
    <w:rsid w:val="00A70090"/>
    <w:rsid w:val="00A70DBE"/>
    <w:rsid w:val="00A753EE"/>
    <w:rsid w:val="00A75DCE"/>
    <w:rsid w:val="00A75ED1"/>
    <w:rsid w:val="00A77104"/>
    <w:rsid w:val="00A80AAA"/>
    <w:rsid w:val="00A81808"/>
    <w:rsid w:val="00A81FE2"/>
    <w:rsid w:val="00A82A01"/>
    <w:rsid w:val="00A86648"/>
    <w:rsid w:val="00A87967"/>
    <w:rsid w:val="00A90847"/>
    <w:rsid w:val="00A91198"/>
    <w:rsid w:val="00A915B1"/>
    <w:rsid w:val="00A93213"/>
    <w:rsid w:val="00A94938"/>
    <w:rsid w:val="00A97D00"/>
    <w:rsid w:val="00AA0502"/>
    <w:rsid w:val="00AA291B"/>
    <w:rsid w:val="00AA405E"/>
    <w:rsid w:val="00AA66CB"/>
    <w:rsid w:val="00AA6DD4"/>
    <w:rsid w:val="00AB00E4"/>
    <w:rsid w:val="00AB107A"/>
    <w:rsid w:val="00AB2FCE"/>
    <w:rsid w:val="00AB3D3A"/>
    <w:rsid w:val="00AB41A8"/>
    <w:rsid w:val="00AB423C"/>
    <w:rsid w:val="00AB6F0F"/>
    <w:rsid w:val="00AC0361"/>
    <w:rsid w:val="00AC1610"/>
    <w:rsid w:val="00AC193F"/>
    <w:rsid w:val="00AC1997"/>
    <w:rsid w:val="00AC302A"/>
    <w:rsid w:val="00AC56E5"/>
    <w:rsid w:val="00AD2106"/>
    <w:rsid w:val="00AD2757"/>
    <w:rsid w:val="00AD2B15"/>
    <w:rsid w:val="00AD5CF4"/>
    <w:rsid w:val="00AD5E76"/>
    <w:rsid w:val="00AD7C1B"/>
    <w:rsid w:val="00AE099C"/>
    <w:rsid w:val="00AE0A35"/>
    <w:rsid w:val="00AE1E79"/>
    <w:rsid w:val="00AE2812"/>
    <w:rsid w:val="00AE323D"/>
    <w:rsid w:val="00AE32AF"/>
    <w:rsid w:val="00AE37F8"/>
    <w:rsid w:val="00AE4379"/>
    <w:rsid w:val="00AE464C"/>
    <w:rsid w:val="00AE5468"/>
    <w:rsid w:val="00AE6E10"/>
    <w:rsid w:val="00AE7A0A"/>
    <w:rsid w:val="00AF2315"/>
    <w:rsid w:val="00AF2361"/>
    <w:rsid w:val="00AF2794"/>
    <w:rsid w:val="00AF3911"/>
    <w:rsid w:val="00AF40B1"/>
    <w:rsid w:val="00AF4173"/>
    <w:rsid w:val="00AF5A16"/>
    <w:rsid w:val="00AF5FD7"/>
    <w:rsid w:val="00AF67BA"/>
    <w:rsid w:val="00AF6B7C"/>
    <w:rsid w:val="00AF6D99"/>
    <w:rsid w:val="00AF73DE"/>
    <w:rsid w:val="00B003FC"/>
    <w:rsid w:val="00B00819"/>
    <w:rsid w:val="00B0187F"/>
    <w:rsid w:val="00B03892"/>
    <w:rsid w:val="00B03DE3"/>
    <w:rsid w:val="00B05EBF"/>
    <w:rsid w:val="00B06430"/>
    <w:rsid w:val="00B06C65"/>
    <w:rsid w:val="00B11646"/>
    <w:rsid w:val="00B11F4F"/>
    <w:rsid w:val="00B12D01"/>
    <w:rsid w:val="00B14CC3"/>
    <w:rsid w:val="00B169C9"/>
    <w:rsid w:val="00B174C4"/>
    <w:rsid w:val="00B2096B"/>
    <w:rsid w:val="00B21C07"/>
    <w:rsid w:val="00B22E06"/>
    <w:rsid w:val="00B2325A"/>
    <w:rsid w:val="00B2451F"/>
    <w:rsid w:val="00B24C7E"/>
    <w:rsid w:val="00B26152"/>
    <w:rsid w:val="00B27DAC"/>
    <w:rsid w:val="00B31527"/>
    <w:rsid w:val="00B32005"/>
    <w:rsid w:val="00B324EC"/>
    <w:rsid w:val="00B32CC1"/>
    <w:rsid w:val="00B33C1D"/>
    <w:rsid w:val="00B33FCC"/>
    <w:rsid w:val="00B34733"/>
    <w:rsid w:val="00B35A60"/>
    <w:rsid w:val="00B37E4D"/>
    <w:rsid w:val="00B402DB"/>
    <w:rsid w:val="00B43667"/>
    <w:rsid w:val="00B44587"/>
    <w:rsid w:val="00B44F98"/>
    <w:rsid w:val="00B4506C"/>
    <w:rsid w:val="00B45139"/>
    <w:rsid w:val="00B51146"/>
    <w:rsid w:val="00B51DA9"/>
    <w:rsid w:val="00B52459"/>
    <w:rsid w:val="00B52A7E"/>
    <w:rsid w:val="00B535A7"/>
    <w:rsid w:val="00B54506"/>
    <w:rsid w:val="00B54FD9"/>
    <w:rsid w:val="00B62F29"/>
    <w:rsid w:val="00B63260"/>
    <w:rsid w:val="00B64209"/>
    <w:rsid w:val="00B6436F"/>
    <w:rsid w:val="00B65553"/>
    <w:rsid w:val="00B655B7"/>
    <w:rsid w:val="00B65B07"/>
    <w:rsid w:val="00B65BE7"/>
    <w:rsid w:val="00B663B0"/>
    <w:rsid w:val="00B66D06"/>
    <w:rsid w:val="00B67CBF"/>
    <w:rsid w:val="00B70C79"/>
    <w:rsid w:val="00B73F6D"/>
    <w:rsid w:val="00B7460E"/>
    <w:rsid w:val="00B747AD"/>
    <w:rsid w:val="00B76B82"/>
    <w:rsid w:val="00B76BED"/>
    <w:rsid w:val="00B80586"/>
    <w:rsid w:val="00B80BAB"/>
    <w:rsid w:val="00B812A9"/>
    <w:rsid w:val="00B81D38"/>
    <w:rsid w:val="00B82079"/>
    <w:rsid w:val="00B824E9"/>
    <w:rsid w:val="00B83212"/>
    <w:rsid w:val="00B844CD"/>
    <w:rsid w:val="00B85204"/>
    <w:rsid w:val="00B8535A"/>
    <w:rsid w:val="00B86F74"/>
    <w:rsid w:val="00B87134"/>
    <w:rsid w:val="00B87408"/>
    <w:rsid w:val="00B903AE"/>
    <w:rsid w:val="00B91129"/>
    <w:rsid w:val="00B91C7E"/>
    <w:rsid w:val="00BA1334"/>
    <w:rsid w:val="00BA1AA8"/>
    <w:rsid w:val="00BA5BB6"/>
    <w:rsid w:val="00BA65FD"/>
    <w:rsid w:val="00BB0649"/>
    <w:rsid w:val="00BB262B"/>
    <w:rsid w:val="00BB305F"/>
    <w:rsid w:val="00BB3332"/>
    <w:rsid w:val="00BB45CB"/>
    <w:rsid w:val="00BB46A9"/>
    <w:rsid w:val="00BB6FB8"/>
    <w:rsid w:val="00BB7CAA"/>
    <w:rsid w:val="00BC0DA2"/>
    <w:rsid w:val="00BC0ED3"/>
    <w:rsid w:val="00BC144F"/>
    <w:rsid w:val="00BC1BA5"/>
    <w:rsid w:val="00BC2507"/>
    <w:rsid w:val="00BC255E"/>
    <w:rsid w:val="00BC2F61"/>
    <w:rsid w:val="00BC4B36"/>
    <w:rsid w:val="00BC55AF"/>
    <w:rsid w:val="00BC58FB"/>
    <w:rsid w:val="00BC5DED"/>
    <w:rsid w:val="00BC6797"/>
    <w:rsid w:val="00BC6C3A"/>
    <w:rsid w:val="00BD6BB4"/>
    <w:rsid w:val="00BE1244"/>
    <w:rsid w:val="00BE1491"/>
    <w:rsid w:val="00BE1584"/>
    <w:rsid w:val="00BE1A58"/>
    <w:rsid w:val="00BE32A9"/>
    <w:rsid w:val="00BE52B9"/>
    <w:rsid w:val="00BE67CD"/>
    <w:rsid w:val="00BE7C02"/>
    <w:rsid w:val="00BF09A8"/>
    <w:rsid w:val="00BF0E7F"/>
    <w:rsid w:val="00BF1FF6"/>
    <w:rsid w:val="00BF2A14"/>
    <w:rsid w:val="00BF3BB8"/>
    <w:rsid w:val="00BF4BA2"/>
    <w:rsid w:val="00BF4CF0"/>
    <w:rsid w:val="00BF592E"/>
    <w:rsid w:val="00BF5B3A"/>
    <w:rsid w:val="00BF5D30"/>
    <w:rsid w:val="00C008D2"/>
    <w:rsid w:val="00C015C1"/>
    <w:rsid w:val="00C02257"/>
    <w:rsid w:val="00C02D1C"/>
    <w:rsid w:val="00C06048"/>
    <w:rsid w:val="00C064D1"/>
    <w:rsid w:val="00C11CCA"/>
    <w:rsid w:val="00C12705"/>
    <w:rsid w:val="00C12B07"/>
    <w:rsid w:val="00C133B1"/>
    <w:rsid w:val="00C141B5"/>
    <w:rsid w:val="00C15146"/>
    <w:rsid w:val="00C17715"/>
    <w:rsid w:val="00C17E8B"/>
    <w:rsid w:val="00C2004F"/>
    <w:rsid w:val="00C200A2"/>
    <w:rsid w:val="00C200F7"/>
    <w:rsid w:val="00C20443"/>
    <w:rsid w:val="00C226AA"/>
    <w:rsid w:val="00C2421A"/>
    <w:rsid w:val="00C24368"/>
    <w:rsid w:val="00C24626"/>
    <w:rsid w:val="00C24FE4"/>
    <w:rsid w:val="00C25C32"/>
    <w:rsid w:val="00C25DD1"/>
    <w:rsid w:val="00C276D7"/>
    <w:rsid w:val="00C27C12"/>
    <w:rsid w:val="00C30F9A"/>
    <w:rsid w:val="00C319D6"/>
    <w:rsid w:val="00C35EFF"/>
    <w:rsid w:val="00C37E7B"/>
    <w:rsid w:val="00C4102F"/>
    <w:rsid w:val="00C42562"/>
    <w:rsid w:val="00C425A3"/>
    <w:rsid w:val="00C444CB"/>
    <w:rsid w:val="00C4498F"/>
    <w:rsid w:val="00C47DD8"/>
    <w:rsid w:val="00C50E8F"/>
    <w:rsid w:val="00C51DE6"/>
    <w:rsid w:val="00C5288C"/>
    <w:rsid w:val="00C55018"/>
    <w:rsid w:val="00C56AFA"/>
    <w:rsid w:val="00C56BA3"/>
    <w:rsid w:val="00C57FE8"/>
    <w:rsid w:val="00C60D85"/>
    <w:rsid w:val="00C63318"/>
    <w:rsid w:val="00C64998"/>
    <w:rsid w:val="00C658EA"/>
    <w:rsid w:val="00C67410"/>
    <w:rsid w:val="00C6790B"/>
    <w:rsid w:val="00C67C11"/>
    <w:rsid w:val="00C7024B"/>
    <w:rsid w:val="00C750FF"/>
    <w:rsid w:val="00C7768A"/>
    <w:rsid w:val="00C80DE5"/>
    <w:rsid w:val="00C816BE"/>
    <w:rsid w:val="00C86A9E"/>
    <w:rsid w:val="00C86EBB"/>
    <w:rsid w:val="00C90B75"/>
    <w:rsid w:val="00C90BC7"/>
    <w:rsid w:val="00C92C56"/>
    <w:rsid w:val="00C95669"/>
    <w:rsid w:val="00C963C1"/>
    <w:rsid w:val="00C969B7"/>
    <w:rsid w:val="00C96E5E"/>
    <w:rsid w:val="00CA0B5A"/>
    <w:rsid w:val="00CA0FA7"/>
    <w:rsid w:val="00CA1829"/>
    <w:rsid w:val="00CA2106"/>
    <w:rsid w:val="00CA2506"/>
    <w:rsid w:val="00CA28FE"/>
    <w:rsid w:val="00CA38FE"/>
    <w:rsid w:val="00CA553F"/>
    <w:rsid w:val="00CA6187"/>
    <w:rsid w:val="00CA6234"/>
    <w:rsid w:val="00CA70BA"/>
    <w:rsid w:val="00CB0759"/>
    <w:rsid w:val="00CB239B"/>
    <w:rsid w:val="00CB3442"/>
    <w:rsid w:val="00CB5F28"/>
    <w:rsid w:val="00CB7B91"/>
    <w:rsid w:val="00CB7FBF"/>
    <w:rsid w:val="00CC4F8B"/>
    <w:rsid w:val="00CC5B64"/>
    <w:rsid w:val="00CC5E44"/>
    <w:rsid w:val="00CD3915"/>
    <w:rsid w:val="00CD4FD2"/>
    <w:rsid w:val="00CD56E1"/>
    <w:rsid w:val="00CD5AB9"/>
    <w:rsid w:val="00CD689E"/>
    <w:rsid w:val="00CD7012"/>
    <w:rsid w:val="00CE030A"/>
    <w:rsid w:val="00CE18C6"/>
    <w:rsid w:val="00CE228B"/>
    <w:rsid w:val="00CE2703"/>
    <w:rsid w:val="00CE49FA"/>
    <w:rsid w:val="00CE4C17"/>
    <w:rsid w:val="00CE4F4E"/>
    <w:rsid w:val="00CE5B43"/>
    <w:rsid w:val="00CE5BD5"/>
    <w:rsid w:val="00CE6F09"/>
    <w:rsid w:val="00CE75A1"/>
    <w:rsid w:val="00CF0525"/>
    <w:rsid w:val="00CF15DC"/>
    <w:rsid w:val="00CF2A69"/>
    <w:rsid w:val="00CF2EBA"/>
    <w:rsid w:val="00CF37E2"/>
    <w:rsid w:val="00CF3AE6"/>
    <w:rsid w:val="00CF3C10"/>
    <w:rsid w:val="00CF433D"/>
    <w:rsid w:val="00CF5462"/>
    <w:rsid w:val="00D01476"/>
    <w:rsid w:val="00D0365E"/>
    <w:rsid w:val="00D037B6"/>
    <w:rsid w:val="00D03CF0"/>
    <w:rsid w:val="00D05D9E"/>
    <w:rsid w:val="00D0788E"/>
    <w:rsid w:val="00D12E3F"/>
    <w:rsid w:val="00D12E5C"/>
    <w:rsid w:val="00D132AD"/>
    <w:rsid w:val="00D14A1E"/>
    <w:rsid w:val="00D15DE7"/>
    <w:rsid w:val="00D15FE3"/>
    <w:rsid w:val="00D17510"/>
    <w:rsid w:val="00D178F9"/>
    <w:rsid w:val="00D205E7"/>
    <w:rsid w:val="00D20A89"/>
    <w:rsid w:val="00D20AF9"/>
    <w:rsid w:val="00D20E16"/>
    <w:rsid w:val="00D21B94"/>
    <w:rsid w:val="00D23686"/>
    <w:rsid w:val="00D23F85"/>
    <w:rsid w:val="00D24045"/>
    <w:rsid w:val="00D2415E"/>
    <w:rsid w:val="00D314F8"/>
    <w:rsid w:val="00D32DE3"/>
    <w:rsid w:val="00D33A22"/>
    <w:rsid w:val="00D35DB4"/>
    <w:rsid w:val="00D36970"/>
    <w:rsid w:val="00D36C50"/>
    <w:rsid w:val="00D37180"/>
    <w:rsid w:val="00D40195"/>
    <w:rsid w:val="00D4103B"/>
    <w:rsid w:val="00D42E36"/>
    <w:rsid w:val="00D42FA4"/>
    <w:rsid w:val="00D44C14"/>
    <w:rsid w:val="00D44EDA"/>
    <w:rsid w:val="00D452EA"/>
    <w:rsid w:val="00D52B2A"/>
    <w:rsid w:val="00D52D47"/>
    <w:rsid w:val="00D53080"/>
    <w:rsid w:val="00D578E9"/>
    <w:rsid w:val="00D604D7"/>
    <w:rsid w:val="00D61243"/>
    <w:rsid w:val="00D627A4"/>
    <w:rsid w:val="00D62AD2"/>
    <w:rsid w:val="00D62BCE"/>
    <w:rsid w:val="00D67145"/>
    <w:rsid w:val="00D736A5"/>
    <w:rsid w:val="00D75BCE"/>
    <w:rsid w:val="00D75E62"/>
    <w:rsid w:val="00D768F5"/>
    <w:rsid w:val="00D803BE"/>
    <w:rsid w:val="00D80F0F"/>
    <w:rsid w:val="00D81CAF"/>
    <w:rsid w:val="00D85156"/>
    <w:rsid w:val="00D8633C"/>
    <w:rsid w:val="00D864F0"/>
    <w:rsid w:val="00D90907"/>
    <w:rsid w:val="00D91612"/>
    <w:rsid w:val="00D92992"/>
    <w:rsid w:val="00D941FF"/>
    <w:rsid w:val="00D94D9E"/>
    <w:rsid w:val="00D95B9C"/>
    <w:rsid w:val="00D968AB"/>
    <w:rsid w:val="00D96ADA"/>
    <w:rsid w:val="00DA3D5E"/>
    <w:rsid w:val="00DA4E21"/>
    <w:rsid w:val="00DA63E9"/>
    <w:rsid w:val="00DA6DF1"/>
    <w:rsid w:val="00DB0CE0"/>
    <w:rsid w:val="00DB0FF8"/>
    <w:rsid w:val="00DB582F"/>
    <w:rsid w:val="00DB6846"/>
    <w:rsid w:val="00DB6F9A"/>
    <w:rsid w:val="00DC102E"/>
    <w:rsid w:val="00DC1281"/>
    <w:rsid w:val="00DC3FD5"/>
    <w:rsid w:val="00DC4397"/>
    <w:rsid w:val="00DC62BC"/>
    <w:rsid w:val="00DC6F50"/>
    <w:rsid w:val="00DD0458"/>
    <w:rsid w:val="00DD10BC"/>
    <w:rsid w:val="00DD25C7"/>
    <w:rsid w:val="00DD2EAF"/>
    <w:rsid w:val="00DD4709"/>
    <w:rsid w:val="00DD4D4C"/>
    <w:rsid w:val="00DD4DBB"/>
    <w:rsid w:val="00DD6D10"/>
    <w:rsid w:val="00DD7199"/>
    <w:rsid w:val="00DD755E"/>
    <w:rsid w:val="00DD7987"/>
    <w:rsid w:val="00DE0B26"/>
    <w:rsid w:val="00DE2460"/>
    <w:rsid w:val="00DE42AE"/>
    <w:rsid w:val="00DE4A49"/>
    <w:rsid w:val="00DE5610"/>
    <w:rsid w:val="00DE686D"/>
    <w:rsid w:val="00DE6889"/>
    <w:rsid w:val="00DE6DE0"/>
    <w:rsid w:val="00DE7EC4"/>
    <w:rsid w:val="00DF2637"/>
    <w:rsid w:val="00DF57FE"/>
    <w:rsid w:val="00E001CF"/>
    <w:rsid w:val="00E0087C"/>
    <w:rsid w:val="00E052A1"/>
    <w:rsid w:val="00E05834"/>
    <w:rsid w:val="00E078AE"/>
    <w:rsid w:val="00E11980"/>
    <w:rsid w:val="00E12300"/>
    <w:rsid w:val="00E12D0A"/>
    <w:rsid w:val="00E12F30"/>
    <w:rsid w:val="00E13426"/>
    <w:rsid w:val="00E14765"/>
    <w:rsid w:val="00E1523C"/>
    <w:rsid w:val="00E15448"/>
    <w:rsid w:val="00E15536"/>
    <w:rsid w:val="00E15D1C"/>
    <w:rsid w:val="00E15E0F"/>
    <w:rsid w:val="00E16D98"/>
    <w:rsid w:val="00E22E6B"/>
    <w:rsid w:val="00E23610"/>
    <w:rsid w:val="00E26FB0"/>
    <w:rsid w:val="00E270E3"/>
    <w:rsid w:val="00E27630"/>
    <w:rsid w:val="00E300CF"/>
    <w:rsid w:val="00E3075B"/>
    <w:rsid w:val="00E31DD1"/>
    <w:rsid w:val="00E338C0"/>
    <w:rsid w:val="00E338D2"/>
    <w:rsid w:val="00E34341"/>
    <w:rsid w:val="00E3481E"/>
    <w:rsid w:val="00E36B7E"/>
    <w:rsid w:val="00E36F08"/>
    <w:rsid w:val="00E37645"/>
    <w:rsid w:val="00E405B8"/>
    <w:rsid w:val="00E40CD3"/>
    <w:rsid w:val="00E414E8"/>
    <w:rsid w:val="00E4217C"/>
    <w:rsid w:val="00E44550"/>
    <w:rsid w:val="00E45130"/>
    <w:rsid w:val="00E45CDB"/>
    <w:rsid w:val="00E476D5"/>
    <w:rsid w:val="00E47BC2"/>
    <w:rsid w:val="00E510BB"/>
    <w:rsid w:val="00E53022"/>
    <w:rsid w:val="00E54A33"/>
    <w:rsid w:val="00E5722D"/>
    <w:rsid w:val="00E5751A"/>
    <w:rsid w:val="00E6045A"/>
    <w:rsid w:val="00E6121A"/>
    <w:rsid w:val="00E61700"/>
    <w:rsid w:val="00E62AEB"/>
    <w:rsid w:val="00E649B6"/>
    <w:rsid w:val="00E65096"/>
    <w:rsid w:val="00E66074"/>
    <w:rsid w:val="00E7336D"/>
    <w:rsid w:val="00E820E7"/>
    <w:rsid w:val="00E82533"/>
    <w:rsid w:val="00E850B5"/>
    <w:rsid w:val="00E85AD8"/>
    <w:rsid w:val="00E85C7B"/>
    <w:rsid w:val="00E868C8"/>
    <w:rsid w:val="00E904DD"/>
    <w:rsid w:val="00E91C2F"/>
    <w:rsid w:val="00E93232"/>
    <w:rsid w:val="00E93A36"/>
    <w:rsid w:val="00E93C89"/>
    <w:rsid w:val="00E94170"/>
    <w:rsid w:val="00E96749"/>
    <w:rsid w:val="00EA1957"/>
    <w:rsid w:val="00EA2D7C"/>
    <w:rsid w:val="00EA3FB3"/>
    <w:rsid w:val="00EA6956"/>
    <w:rsid w:val="00EA6DFC"/>
    <w:rsid w:val="00EB017A"/>
    <w:rsid w:val="00EB3BB7"/>
    <w:rsid w:val="00EB5908"/>
    <w:rsid w:val="00EB66F6"/>
    <w:rsid w:val="00EC08F5"/>
    <w:rsid w:val="00EC1482"/>
    <w:rsid w:val="00EC2EFE"/>
    <w:rsid w:val="00EC47B4"/>
    <w:rsid w:val="00EC5AD5"/>
    <w:rsid w:val="00EC7799"/>
    <w:rsid w:val="00ED0930"/>
    <w:rsid w:val="00ED13E7"/>
    <w:rsid w:val="00ED1E89"/>
    <w:rsid w:val="00ED4475"/>
    <w:rsid w:val="00ED525B"/>
    <w:rsid w:val="00ED6C69"/>
    <w:rsid w:val="00EE02CA"/>
    <w:rsid w:val="00EE20C5"/>
    <w:rsid w:val="00EE3701"/>
    <w:rsid w:val="00EE4589"/>
    <w:rsid w:val="00EE49D6"/>
    <w:rsid w:val="00EE5CEB"/>
    <w:rsid w:val="00EF0D8D"/>
    <w:rsid w:val="00EF42A5"/>
    <w:rsid w:val="00EF711A"/>
    <w:rsid w:val="00EF7EEF"/>
    <w:rsid w:val="00F00864"/>
    <w:rsid w:val="00F01DDC"/>
    <w:rsid w:val="00F02163"/>
    <w:rsid w:val="00F06049"/>
    <w:rsid w:val="00F0676F"/>
    <w:rsid w:val="00F07BE3"/>
    <w:rsid w:val="00F10E39"/>
    <w:rsid w:val="00F10F42"/>
    <w:rsid w:val="00F1157B"/>
    <w:rsid w:val="00F11AAF"/>
    <w:rsid w:val="00F11D2E"/>
    <w:rsid w:val="00F11DB2"/>
    <w:rsid w:val="00F124E1"/>
    <w:rsid w:val="00F126B3"/>
    <w:rsid w:val="00F13A5A"/>
    <w:rsid w:val="00F2095C"/>
    <w:rsid w:val="00F23303"/>
    <w:rsid w:val="00F26517"/>
    <w:rsid w:val="00F27A5A"/>
    <w:rsid w:val="00F30648"/>
    <w:rsid w:val="00F30D99"/>
    <w:rsid w:val="00F30EDF"/>
    <w:rsid w:val="00F33E4C"/>
    <w:rsid w:val="00F34BC3"/>
    <w:rsid w:val="00F34D59"/>
    <w:rsid w:val="00F35E52"/>
    <w:rsid w:val="00F362E5"/>
    <w:rsid w:val="00F37554"/>
    <w:rsid w:val="00F40630"/>
    <w:rsid w:val="00F41632"/>
    <w:rsid w:val="00F43858"/>
    <w:rsid w:val="00F444A2"/>
    <w:rsid w:val="00F444DE"/>
    <w:rsid w:val="00F45A9E"/>
    <w:rsid w:val="00F4686A"/>
    <w:rsid w:val="00F47038"/>
    <w:rsid w:val="00F471C8"/>
    <w:rsid w:val="00F4774F"/>
    <w:rsid w:val="00F50082"/>
    <w:rsid w:val="00F5094E"/>
    <w:rsid w:val="00F51991"/>
    <w:rsid w:val="00F55F28"/>
    <w:rsid w:val="00F56241"/>
    <w:rsid w:val="00F56453"/>
    <w:rsid w:val="00F56977"/>
    <w:rsid w:val="00F572F5"/>
    <w:rsid w:val="00F62C54"/>
    <w:rsid w:val="00F647AC"/>
    <w:rsid w:val="00F64EC1"/>
    <w:rsid w:val="00F6578C"/>
    <w:rsid w:val="00F66501"/>
    <w:rsid w:val="00F70183"/>
    <w:rsid w:val="00F7293F"/>
    <w:rsid w:val="00F73733"/>
    <w:rsid w:val="00F7506F"/>
    <w:rsid w:val="00F7558A"/>
    <w:rsid w:val="00F761C3"/>
    <w:rsid w:val="00F80310"/>
    <w:rsid w:val="00F8264A"/>
    <w:rsid w:val="00F82973"/>
    <w:rsid w:val="00F84CAA"/>
    <w:rsid w:val="00F85885"/>
    <w:rsid w:val="00F86C96"/>
    <w:rsid w:val="00F86E9A"/>
    <w:rsid w:val="00F87BBE"/>
    <w:rsid w:val="00F913A1"/>
    <w:rsid w:val="00F954A7"/>
    <w:rsid w:val="00F95B30"/>
    <w:rsid w:val="00FA14AD"/>
    <w:rsid w:val="00FA1BAD"/>
    <w:rsid w:val="00FA1D0C"/>
    <w:rsid w:val="00FA2ACF"/>
    <w:rsid w:val="00FA30B8"/>
    <w:rsid w:val="00FA4A06"/>
    <w:rsid w:val="00FA5124"/>
    <w:rsid w:val="00FA647A"/>
    <w:rsid w:val="00FA6C2B"/>
    <w:rsid w:val="00FA6E74"/>
    <w:rsid w:val="00FB1809"/>
    <w:rsid w:val="00FB2753"/>
    <w:rsid w:val="00FB2DDF"/>
    <w:rsid w:val="00FB4080"/>
    <w:rsid w:val="00FB4F47"/>
    <w:rsid w:val="00FB4F6C"/>
    <w:rsid w:val="00FC00C3"/>
    <w:rsid w:val="00FC18CA"/>
    <w:rsid w:val="00FC2FBA"/>
    <w:rsid w:val="00FC5E11"/>
    <w:rsid w:val="00FC603C"/>
    <w:rsid w:val="00FC606A"/>
    <w:rsid w:val="00FC7DD9"/>
    <w:rsid w:val="00FD0359"/>
    <w:rsid w:val="00FD0AE4"/>
    <w:rsid w:val="00FD1240"/>
    <w:rsid w:val="00FD1D42"/>
    <w:rsid w:val="00FD2221"/>
    <w:rsid w:val="00FD32E3"/>
    <w:rsid w:val="00FD6539"/>
    <w:rsid w:val="00FE00B2"/>
    <w:rsid w:val="00FE01C2"/>
    <w:rsid w:val="00FE0626"/>
    <w:rsid w:val="00FE1186"/>
    <w:rsid w:val="00FE1661"/>
    <w:rsid w:val="00FE545E"/>
    <w:rsid w:val="00FE5622"/>
    <w:rsid w:val="00FE5899"/>
    <w:rsid w:val="00FE7279"/>
    <w:rsid w:val="00FE7997"/>
    <w:rsid w:val="00FF21A9"/>
    <w:rsid w:val="00FF362F"/>
    <w:rsid w:val="00FF37F9"/>
    <w:rsid w:val="00FF4D27"/>
    <w:rsid w:val="00FF4E6A"/>
    <w:rsid w:val="00FF5DA1"/>
    <w:rsid w:val="01ED3ADC"/>
    <w:rsid w:val="030F4DA5"/>
    <w:rsid w:val="03379FE7"/>
    <w:rsid w:val="034D8A18"/>
    <w:rsid w:val="0429082F"/>
    <w:rsid w:val="048EAB72"/>
    <w:rsid w:val="052E8610"/>
    <w:rsid w:val="063FD668"/>
    <w:rsid w:val="084C6936"/>
    <w:rsid w:val="0B4BC205"/>
    <w:rsid w:val="0B623774"/>
    <w:rsid w:val="0B68FCA9"/>
    <w:rsid w:val="0C0CF877"/>
    <w:rsid w:val="0C36D2EA"/>
    <w:rsid w:val="0D558012"/>
    <w:rsid w:val="0DD3FC47"/>
    <w:rsid w:val="0F25F938"/>
    <w:rsid w:val="1003F8F2"/>
    <w:rsid w:val="100C32B7"/>
    <w:rsid w:val="10C85087"/>
    <w:rsid w:val="11101E30"/>
    <w:rsid w:val="1125E000"/>
    <w:rsid w:val="116E125A"/>
    <w:rsid w:val="11A7D4D9"/>
    <w:rsid w:val="11C97564"/>
    <w:rsid w:val="12F835E3"/>
    <w:rsid w:val="152F6132"/>
    <w:rsid w:val="154F7D33"/>
    <w:rsid w:val="166DD3AE"/>
    <w:rsid w:val="1685907E"/>
    <w:rsid w:val="1924B787"/>
    <w:rsid w:val="1A70E841"/>
    <w:rsid w:val="1AA621E2"/>
    <w:rsid w:val="1ADE70A6"/>
    <w:rsid w:val="1BB0C949"/>
    <w:rsid w:val="1DE58F2D"/>
    <w:rsid w:val="1E58BAF4"/>
    <w:rsid w:val="20260E5B"/>
    <w:rsid w:val="206008BF"/>
    <w:rsid w:val="21538DB5"/>
    <w:rsid w:val="216E79E3"/>
    <w:rsid w:val="22C482BD"/>
    <w:rsid w:val="24167C2D"/>
    <w:rsid w:val="24A2B4F8"/>
    <w:rsid w:val="250BE09C"/>
    <w:rsid w:val="26560D29"/>
    <w:rsid w:val="27E00665"/>
    <w:rsid w:val="27E44AF2"/>
    <w:rsid w:val="2853F8FB"/>
    <w:rsid w:val="288A322D"/>
    <w:rsid w:val="29DDFBCC"/>
    <w:rsid w:val="2C05EF5E"/>
    <w:rsid w:val="2C4E8E68"/>
    <w:rsid w:val="2D572C32"/>
    <w:rsid w:val="2D9B2F7F"/>
    <w:rsid w:val="2DC7E490"/>
    <w:rsid w:val="2E3522CB"/>
    <w:rsid w:val="2E5D32CA"/>
    <w:rsid w:val="315E3E5B"/>
    <w:rsid w:val="31C9E7E2"/>
    <w:rsid w:val="330B153D"/>
    <w:rsid w:val="33345268"/>
    <w:rsid w:val="35B56494"/>
    <w:rsid w:val="39218FE9"/>
    <w:rsid w:val="3934C77C"/>
    <w:rsid w:val="395A812A"/>
    <w:rsid w:val="3965A277"/>
    <w:rsid w:val="39F6C917"/>
    <w:rsid w:val="3A34D4E6"/>
    <w:rsid w:val="3A8F7912"/>
    <w:rsid w:val="3B25D1C7"/>
    <w:rsid w:val="3BD98DC9"/>
    <w:rsid w:val="3C055361"/>
    <w:rsid w:val="3C32F1B1"/>
    <w:rsid w:val="3C94DFD6"/>
    <w:rsid w:val="3D910DCC"/>
    <w:rsid w:val="3E64667A"/>
    <w:rsid w:val="3F5C8C19"/>
    <w:rsid w:val="3F621A54"/>
    <w:rsid w:val="3F99B282"/>
    <w:rsid w:val="3FAC8073"/>
    <w:rsid w:val="406A46A5"/>
    <w:rsid w:val="407E8244"/>
    <w:rsid w:val="41ABC229"/>
    <w:rsid w:val="42D0B0CE"/>
    <w:rsid w:val="437B81EB"/>
    <w:rsid w:val="43AD8F02"/>
    <w:rsid w:val="454C4761"/>
    <w:rsid w:val="45886F97"/>
    <w:rsid w:val="46AA4745"/>
    <w:rsid w:val="46D637EA"/>
    <w:rsid w:val="46DB338A"/>
    <w:rsid w:val="46FD0505"/>
    <w:rsid w:val="48020DDA"/>
    <w:rsid w:val="4936F60B"/>
    <w:rsid w:val="49BAA13F"/>
    <w:rsid w:val="49F1F7AA"/>
    <w:rsid w:val="4A6CB453"/>
    <w:rsid w:val="4C3FA8E1"/>
    <w:rsid w:val="4E7D8D86"/>
    <w:rsid w:val="52194A2B"/>
    <w:rsid w:val="53B9BEE2"/>
    <w:rsid w:val="53D53E8D"/>
    <w:rsid w:val="5402F560"/>
    <w:rsid w:val="540BD06C"/>
    <w:rsid w:val="5548695E"/>
    <w:rsid w:val="5576BB51"/>
    <w:rsid w:val="55AF5359"/>
    <w:rsid w:val="5735D662"/>
    <w:rsid w:val="5BD64493"/>
    <w:rsid w:val="5D584FBE"/>
    <w:rsid w:val="5DEE60A5"/>
    <w:rsid w:val="5F67CCCD"/>
    <w:rsid w:val="6060267F"/>
    <w:rsid w:val="64273A4D"/>
    <w:rsid w:val="65588675"/>
    <w:rsid w:val="6709C882"/>
    <w:rsid w:val="68A9190A"/>
    <w:rsid w:val="68C01E59"/>
    <w:rsid w:val="6B9B3501"/>
    <w:rsid w:val="6BAB5113"/>
    <w:rsid w:val="6BD62A01"/>
    <w:rsid w:val="6C311220"/>
    <w:rsid w:val="6C8C9345"/>
    <w:rsid w:val="6D33B2FC"/>
    <w:rsid w:val="6FEBBD7E"/>
    <w:rsid w:val="709EB1EC"/>
    <w:rsid w:val="7141B6DB"/>
    <w:rsid w:val="71E01656"/>
    <w:rsid w:val="72164A3E"/>
    <w:rsid w:val="72EE172F"/>
    <w:rsid w:val="731CF0CD"/>
    <w:rsid w:val="73C95CA7"/>
    <w:rsid w:val="76A0E8AF"/>
    <w:rsid w:val="77D33CA5"/>
    <w:rsid w:val="79136AD1"/>
    <w:rsid w:val="79162067"/>
    <w:rsid w:val="7961067B"/>
    <w:rsid w:val="7B5D0A8B"/>
    <w:rsid w:val="7BD3194C"/>
    <w:rsid w:val="7C4FFAD5"/>
    <w:rsid w:val="7C9F09A6"/>
    <w:rsid w:val="7CE359EB"/>
    <w:rsid w:val="7DFE5536"/>
    <w:rsid w:val="7FA89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82878"/>
  <w15:docId w15:val="{63D9B56E-B27D-48BF-ADE3-7EF22FEF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pBdr>
        <w:bottom w:val="single" w:sz="4" w:space="4" w:color="1F3864"/>
      </w:pBdr>
      <w:spacing w:before="240" w:after="60"/>
      <w:outlineLvl w:val="1"/>
    </w:pPr>
    <w:rPr>
      <w:rFonts w:ascii="Calibri Light" w:eastAsia="Calibri Light" w:hAnsi="Calibri Light" w:cs="Calibri Light"/>
      <w:b/>
      <w:bCs/>
      <w:color w:val="00000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2">
    <w:name w:val="toc 2"/>
    <w:basedOn w:val="Normal"/>
    <w:next w:val="Normal"/>
    <w:autoRedefine/>
    <w:uiPriority w:val="39"/>
    <w:unhideWhenUsed/>
    <w:rsid w:val="00915136"/>
    <w:pPr>
      <w:spacing w:after="100"/>
      <w:ind w:left="220"/>
    </w:pPr>
  </w:style>
  <w:style w:type="paragraph" w:styleId="Header">
    <w:name w:val="header"/>
    <w:basedOn w:val="Normal"/>
    <w:link w:val="HeaderChar"/>
    <w:uiPriority w:val="99"/>
    <w:unhideWhenUsed/>
    <w:rsid w:val="00915136"/>
    <w:pPr>
      <w:tabs>
        <w:tab w:val="center" w:pos="4680"/>
        <w:tab w:val="right" w:pos="9360"/>
      </w:tabs>
    </w:pPr>
  </w:style>
  <w:style w:type="character" w:customStyle="1" w:styleId="HeaderChar">
    <w:name w:val="Header Char"/>
    <w:basedOn w:val="DefaultParagraphFont"/>
    <w:link w:val="Header"/>
    <w:uiPriority w:val="99"/>
    <w:rsid w:val="00915136"/>
  </w:style>
  <w:style w:type="paragraph" w:styleId="Footer">
    <w:name w:val="footer"/>
    <w:basedOn w:val="Normal"/>
    <w:link w:val="FooterChar"/>
    <w:uiPriority w:val="99"/>
    <w:unhideWhenUsed/>
    <w:rsid w:val="00915136"/>
    <w:pPr>
      <w:tabs>
        <w:tab w:val="center" w:pos="4680"/>
        <w:tab w:val="right" w:pos="9360"/>
      </w:tabs>
    </w:pPr>
  </w:style>
  <w:style w:type="character" w:customStyle="1" w:styleId="FooterChar">
    <w:name w:val="Footer Char"/>
    <w:basedOn w:val="DefaultParagraphFont"/>
    <w:link w:val="Footer"/>
    <w:uiPriority w:val="99"/>
    <w:rsid w:val="00915136"/>
  </w:style>
  <w:style w:type="character" w:styleId="UnresolvedMention">
    <w:name w:val="Unresolved Mention"/>
    <w:basedOn w:val="DefaultParagraphFont"/>
    <w:uiPriority w:val="99"/>
    <w:semiHidden/>
    <w:unhideWhenUsed/>
    <w:rsid w:val="005548E1"/>
    <w:rPr>
      <w:color w:val="605E5C"/>
      <w:shd w:val="clear" w:color="auto" w:fill="E1DFDD"/>
    </w:rPr>
  </w:style>
  <w:style w:type="character" w:styleId="CommentReference">
    <w:name w:val="annotation reference"/>
    <w:basedOn w:val="DefaultParagraphFont"/>
    <w:uiPriority w:val="99"/>
    <w:semiHidden/>
    <w:unhideWhenUsed/>
    <w:rsid w:val="0086296E"/>
    <w:rPr>
      <w:sz w:val="16"/>
      <w:szCs w:val="16"/>
    </w:rPr>
  </w:style>
  <w:style w:type="paragraph" w:styleId="CommentText">
    <w:name w:val="annotation text"/>
    <w:basedOn w:val="Normal"/>
    <w:link w:val="CommentTextChar"/>
    <w:uiPriority w:val="99"/>
    <w:unhideWhenUsed/>
    <w:rsid w:val="0086296E"/>
    <w:rPr>
      <w:sz w:val="20"/>
      <w:szCs w:val="20"/>
    </w:rPr>
  </w:style>
  <w:style w:type="character" w:customStyle="1" w:styleId="CommentTextChar">
    <w:name w:val="Comment Text Char"/>
    <w:basedOn w:val="DefaultParagraphFont"/>
    <w:link w:val="CommentText"/>
    <w:uiPriority w:val="99"/>
    <w:rsid w:val="0086296E"/>
    <w:rPr>
      <w:sz w:val="20"/>
      <w:szCs w:val="20"/>
    </w:rPr>
  </w:style>
  <w:style w:type="paragraph" w:styleId="CommentSubject">
    <w:name w:val="annotation subject"/>
    <w:basedOn w:val="CommentText"/>
    <w:next w:val="CommentText"/>
    <w:link w:val="CommentSubjectChar"/>
    <w:uiPriority w:val="99"/>
    <w:semiHidden/>
    <w:unhideWhenUsed/>
    <w:rsid w:val="0086296E"/>
    <w:rPr>
      <w:b/>
      <w:bCs/>
    </w:rPr>
  </w:style>
  <w:style w:type="character" w:customStyle="1" w:styleId="CommentSubjectChar">
    <w:name w:val="Comment Subject Char"/>
    <w:basedOn w:val="CommentTextChar"/>
    <w:link w:val="CommentSubject"/>
    <w:uiPriority w:val="99"/>
    <w:semiHidden/>
    <w:rsid w:val="0086296E"/>
    <w:rPr>
      <w:b/>
      <w:bCs/>
      <w:sz w:val="20"/>
      <w:szCs w:val="20"/>
    </w:rPr>
  </w:style>
  <w:style w:type="character" w:styleId="FollowedHyperlink">
    <w:name w:val="FollowedHyperlink"/>
    <w:basedOn w:val="DefaultParagraphFont"/>
    <w:uiPriority w:val="99"/>
    <w:semiHidden/>
    <w:unhideWhenUsed/>
    <w:rsid w:val="00580C76"/>
    <w:rPr>
      <w:color w:val="96607D" w:themeColor="followedHyperlink"/>
      <w:u w:val="single"/>
    </w:rPr>
  </w:style>
  <w:style w:type="paragraph" w:styleId="Revision">
    <w:name w:val="Revision"/>
    <w:hidden/>
    <w:uiPriority w:val="99"/>
    <w:semiHidden/>
    <w:rsid w:val="00590715"/>
  </w:style>
  <w:style w:type="character" w:styleId="Mention">
    <w:name w:val="Mention"/>
    <w:basedOn w:val="DefaultParagraphFont"/>
    <w:uiPriority w:val="99"/>
    <w:unhideWhenUsed/>
    <w:rsid w:val="00590715"/>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6617DC"/>
    <w:rPr>
      <w:i/>
      <w:iCs/>
    </w:rPr>
  </w:style>
  <w:style w:type="paragraph" w:customStyle="1" w:styleId="font-claude-response-body">
    <w:name w:val="font-claude-response-body"/>
    <w:basedOn w:val="Normal"/>
    <w:rsid w:val="00E1476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14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ecfr.gov/current/title-34/subtitle-B/chapter-VI/part-668/subpart-D" TargetMode="External"/><Relationship Id="rId26" Type="http://schemas.openxmlformats.org/officeDocument/2006/relationships/hyperlink" Target="https://www.hlcommission.org/accreditation/policies/criteria/" TargetMode="External"/><Relationship Id="rId39" Type="http://schemas.openxmlformats.org/officeDocument/2006/relationships/header" Target="header1.xml"/><Relationship Id="rId21" Type="http://schemas.openxmlformats.org/officeDocument/2006/relationships/hyperlink" Target="https://www.ecfr.gov/current/title-34/subtitle-B/chapter-VI/part-600/subpart-A/section-600.2" TargetMode="External"/><Relationship Id="rId34" Type="http://schemas.openxmlformats.org/officeDocument/2006/relationships/hyperlink" Target="https://www.ecfr.gov/current/title-34/subtitle-B/chapter-VI/part-600/subpart-A/section-600.2"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state.edu/registrar/faculty-staff/acadclassschedule/course_scheduling/instructionalmode/" TargetMode="External"/><Relationship Id="rId29" Type="http://schemas.openxmlformats.org/officeDocument/2006/relationships/hyperlink" Target="https://www.k-state.edu/provost/policies-resources/university-handbook/fhsecf.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k-state.instructure.com" TargetMode="External"/><Relationship Id="rId32" Type="http://schemas.openxmlformats.org/officeDocument/2006/relationships/hyperlink" Target="https://www.k-state.edu/provost/initiatives/digital-accessibility/" TargetMode="External"/><Relationship Id="rId37" Type="http://schemas.openxmlformats.org/officeDocument/2006/relationships/hyperlink" Target="https://www.ecfr.gov/current/title-34/subtitle-B/chapter-VI/part-668/subpart-A/section-668.10"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urrent/title-34/subtitle-B/chapter-VI/part-600/subpart-A/section-600.2" TargetMode="External"/><Relationship Id="rId23" Type="http://schemas.openxmlformats.org/officeDocument/2006/relationships/hyperlink" Target="https://www.k-state.edu/provost/policies-resources/university-handbook/fhsecf.html" TargetMode="External"/><Relationship Id="rId28" Type="http://schemas.openxmlformats.org/officeDocument/2006/relationships/hyperlink" Target="https://www.k-state.edu/provost/policies-resources/university-handbook/fhsecf.html" TargetMode="External"/><Relationship Id="rId36" Type="http://schemas.openxmlformats.org/officeDocument/2006/relationships/hyperlink" Target="https://www.ecfr.gov/current/title-34/subtitle-B/chapter-VI/part-600/subpart-A/section-600.2" TargetMode="External"/><Relationship Id="rId10" Type="http://schemas.openxmlformats.org/officeDocument/2006/relationships/comments" Target="comments.xml"/><Relationship Id="rId19" Type="http://schemas.openxmlformats.org/officeDocument/2006/relationships/hyperlink" Target="https://www.hlcommission.org/accreditation/policies/criteria/" TargetMode="External"/><Relationship Id="rId31" Type="http://schemas.openxmlformats.org/officeDocument/2006/relationships/hyperlink" Target="https://www.k-state.edu/provost/policies-resources/classroom-policies-teaching-resources/course-syllabi-statements/" TargetMode="External"/><Relationship Id="rId44"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emailprod-my.sharepoint.com/:b:/g/personal/mohrschroeder_ksu_edu/IQBjGg7oiKjKQYYIIJm6inxxAQVNzFbVrji6J7Ue5C6Czxk?e=x6H5Xp" TargetMode="External"/><Relationship Id="rId22" Type="http://schemas.openxmlformats.org/officeDocument/2006/relationships/hyperlink" Target="https://www.k-state.edu/provost/policies-resources/university-handbook/fhsecd.html" TargetMode="External"/><Relationship Id="rId27" Type="http://schemas.openxmlformats.org/officeDocument/2006/relationships/hyperlink" Target="https://www.k-state.edu/provost/policies-resources/university-handbook/fhsecf.html" TargetMode="External"/><Relationship Id="rId30" Type="http://schemas.openxmlformats.org/officeDocument/2006/relationships/hyperlink" Target="https://www.k-state.edu/civil-rights/" TargetMode="External"/><Relationship Id="rId35" Type="http://schemas.openxmlformats.org/officeDocument/2006/relationships/hyperlink" Target="https://www.ecfr.gov/current/title-34/subtitle-B/chapter-VI/part-668/subpart-D"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ksrevisor.gov/statutes/chapters/ch45/045_002_0015.html" TargetMode="External"/><Relationship Id="rId25" Type="http://schemas.openxmlformats.org/officeDocument/2006/relationships/hyperlink" Target="https://www.k-state.edu/policies/ppm/3400/3410.html" TargetMode="External"/><Relationship Id="rId33" Type="http://schemas.openxmlformats.org/officeDocument/2006/relationships/hyperlink" Target="https://www.ecfr.gov/current/title-34/subtitle-B/chapter-VI/part-600/subpart-A/section-600.2" TargetMode="External"/><Relationship Id="rId38" Type="http://schemas.openxmlformats.org/officeDocument/2006/relationships/hyperlink" Target="https://www.kansasregents.gov/about/policies-by-laws-missions/board_policy_manual_2" TargetMode="External"/><Relationship Id="rId20" Type="http://schemas.openxmlformats.org/officeDocument/2006/relationships/hyperlink" Target="https://www.hlcommission.org/accreditation/policies/assumed-practices/"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3092EAEF06445931D2D77D18837FE" ma:contentTypeVersion="18" ma:contentTypeDescription="Create a new document." ma:contentTypeScope="" ma:versionID="b0af822d97b66adfeceec38ba18d8eb0">
  <xsd:schema xmlns:xsd="http://www.w3.org/2001/XMLSchema" xmlns:xs="http://www.w3.org/2001/XMLSchema" xmlns:p="http://schemas.microsoft.com/office/2006/metadata/properties" xmlns:ns2="9c9b4f81-e7d8-4b14-a127-e2b5c9ffa469" xmlns:ns3="776406e6-a489-4170-a915-434d1236c667" targetNamespace="http://schemas.microsoft.com/office/2006/metadata/properties" ma:root="true" ma:fieldsID="15b2b2ba3bf7d5d2a62898a16739c029" ns2:_="" ns3:_="">
    <xsd:import namespace="9c9b4f81-e7d8-4b14-a127-e2b5c9ffa469"/>
    <xsd:import namespace="776406e6-a489-4170-a915-434d1236c6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b4f81-e7d8-4b14-a127-e2b5c9ffa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406e6-a489-4170-a915-434d1236c6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a94c3-c506-4da1-ba48-7cd7218f6be6}" ma:internalName="TaxCatchAll" ma:showField="CatchAllData" ma:web="776406e6-a489-4170-a915-434d1236c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406e6-a489-4170-a915-434d1236c667" xsi:nil="true"/>
    <lcf76f155ced4ddcb4097134ff3c332f xmlns="9c9b4f81-e7d8-4b14-a127-e2b5c9ffa4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3BB63-5F4B-4D87-B1D3-B05C82B38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b4f81-e7d8-4b14-a127-e2b5c9ffa469"/>
    <ds:schemaRef ds:uri="776406e6-a489-4170-a915-434d1236c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C1E31-B090-423D-B3F2-4C023473CC09}">
  <ds:schemaRefs>
    <ds:schemaRef ds:uri="http://schemas.microsoft.com/sharepoint/v3/contenttype/forms"/>
  </ds:schemaRefs>
</ds:datastoreItem>
</file>

<file path=customXml/itemProps3.xml><?xml version="1.0" encoding="utf-8"?>
<ds:datastoreItem xmlns:ds="http://schemas.openxmlformats.org/officeDocument/2006/customXml" ds:itemID="{DB312994-0E16-42C2-B194-6F2D6BDF74EF}">
  <ds:schemaRefs>
    <ds:schemaRef ds:uri="http://schemas.microsoft.com/office/2006/metadata/properties"/>
    <ds:schemaRef ds:uri="http://schemas.microsoft.com/office/infopath/2007/PartnerControls"/>
    <ds:schemaRef ds:uri="776406e6-a489-4170-a915-434d1236c667"/>
    <ds:schemaRef ds:uri="9c9b4f81-e7d8-4b14-a127-e2b5c9ffa469"/>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6694</Words>
  <Characters>38156</Characters>
  <Application>Microsoft Office Word</Application>
  <DocSecurity>8</DocSecurity>
  <Lines>317</Lines>
  <Paragraphs>89</Paragraphs>
  <ScaleCrop>false</ScaleCrop>
  <Company/>
  <LinksUpToDate>false</LinksUpToDate>
  <CharactersWithSpaces>44761</CharactersWithSpaces>
  <SharedDoc>false</SharedDoc>
  <HLinks>
    <vt:vector size="156" baseType="variant">
      <vt:variant>
        <vt:i4>7733340</vt:i4>
      </vt:variant>
      <vt:variant>
        <vt:i4>75</vt:i4>
      </vt:variant>
      <vt:variant>
        <vt:i4>0</vt:i4>
      </vt:variant>
      <vt:variant>
        <vt:i4>5</vt:i4>
      </vt:variant>
      <vt:variant>
        <vt:lpwstr/>
      </vt:variant>
      <vt:variant>
        <vt:lpwstr>_.060_Digital_Accessibility</vt:lpwstr>
      </vt:variant>
      <vt:variant>
        <vt:i4>8126470</vt:i4>
      </vt:variant>
      <vt:variant>
        <vt:i4>72</vt:i4>
      </vt:variant>
      <vt:variant>
        <vt:i4>0</vt:i4>
      </vt:variant>
      <vt:variant>
        <vt:i4>5</vt:i4>
      </vt:variant>
      <vt:variant>
        <vt:lpwstr>https://www.kansasregents.gov/about/policies-by-laws-missions/board_policy_manual_2</vt:lpwstr>
      </vt:variant>
      <vt:variant>
        <vt:lpwstr/>
      </vt:variant>
      <vt:variant>
        <vt:i4>4718672</vt:i4>
      </vt:variant>
      <vt:variant>
        <vt:i4>69</vt:i4>
      </vt:variant>
      <vt:variant>
        <vt:i4>0</vt:i4>
      </vt:variant>
      <vt:variant>
        <vt:i4>5</vt:i4>
      </vt:variant>
      <vt:variant>
        <vt:lpwstr>https://www.ecfr.gov/current/title-34/subtitle-B/chapter-VI/part-668/subpart-A/section-668.10</vt:lpwstr>
      </vt:variant>
      <vt:variant>
        <vt:lpwstr/>
      </vt:variant>
      <vt:variant>
        <vt:i4>4915280</vt:i4>
      </vt:variant>
      <vt:variant>
        <vt:i4>66</vt:i4>
      </vt:variant>
      <vt:variant>
        <vt:i4>0</vt:i4>
      </vt:variant>
      <vt:variant>
        <vt:i4>5</vt:i4>
      </vt:variant>
      <vt:variant>
        <vt:lpwstr>https://www.ecfr.gov/current/title-34/subtitle-B/chapter-VI/part-600/subpart-A/section-600.2</vt:lpwstr>
      </vt:variant>
      <vt:variant>
        <vt:lpwstr/>
      </vt:variant>
      <vt:variant>
        <vt:i4>6619188</vt:i4>
      </vt:variant>
      <vt:variant>
        <vt:i4>63</vt:i4>
      </vt:variant>
      <vt:variant>
        <vt:i4>0</vt:i4>
      </vt:variant>
      <vt:variant>
        <vt:i4>5</vt:i4>
      </vt:variant>
      <vt:variant>
        <vt:lpwstr>https://www.ecfr.gov/current/title-34/subtitle-B/chapter-VI/part-668/subpart-D</vt:lpwstr>
      </vt:variant>
      <vt:variant>
        <vt:lpwstr/>
      </vt:variant>
      <vt:variant>
        <vt:i4>4915280</vt:i4>
      </vt:variant>
      <vt:variant>
        <vt:i4>60</vt:i4>
      </vt:variant>
      <vt:variant>
        <vt:i4>0</vt:i4>
      </vt:variant>
      <vt:variant>
        <vt:i4>5</vt:i4>
      </vt:variant>
      <vt:variant>
        <vt:lpwstr>https://www.ecfr.gov/current/title-34/subtitle-B/chapter-VI/part-600/subpart-A/section-600.2</vt:lpwstr>
      </vt:variant>
      <vt:variant>
        <vt:lpwstr/>
      </vt:variant>
      <vt:variant>
        <vt:i4>4915280</vt:i4>
      </vt:variant>
      <vt:variant>
        <vt:i4>57</vt:i4>
      </vt:variant>
      <vt:variant>
        <vt:i4>0</vt:i4>
      </vt:variant>
      <vt:variant>
        <vt:i4>5</vt:i4>
      </vt:variant>
      <vt:variant>
        <vt:lpwstr>https://www.ecfr.gov/current/title-34/subtitle-B/chapter-VI/part-600/subpart-A/section-600.2</vt:lpwstr>
      </vt:variant>
      <vt:variant>
        <vt:lpwstr/>
      </vt:variant>
      <vt:variant>
        <vt:i4>7077930</vt:i4>
      </vt:variant>
      <vt:variant>
        <vt:i4>54</vt:i4>
      </vt:variant>
      <vt:variant>
        <vt:i4>0</vt:i4>
      </vt:variant>
      <vt:variant>
        <vt:i4>5</vt:i4>
      </vt:variant>
      <vt:variant>
        <vt:lpwstr>https://www.k-state.edu/provost/initiatives/digital-accessibility/</vt:lpwstr>
      </vt:variant>
      <vt:variant>
        <vt:lpwstr/>
      </vt:variant>
      <vt:variant>
        <vt:i4>6946939</vt:i4>
      </vt:variant>
      <vt:variant>
        <vt:i4>51</vt:i4>
      </vt:variant>
      <vt:variant>
        <vt:i4>0</vt:i4>
      </vt:variant>
      <vt:variant>
        <vt:i4>5</vt:i4>
      </vt:variant>
      <vt:variant>
        <vt:lpwstr>https://www.k-state.edu/provost/policies-resources/classroom-policies-teaching-resources/course-syllabi-statements/</vt:lpwstr>
      </vt:variant>
      <vt:variant>
        <vt:lpwstr/>
      </vt:variant>
      <vt:variant>
        <vt:i4>6226004</vt:i4>
      </vt:variant>
      <vt:variant>
        <vt:i4>48</vt:i4>
      </vt:variant>
      <vt:variant>
        <vt:i4>0</vt:i4>
      </vt:variant>
      <vt:variant>
        <vt:i4>5</vt:i4>
      </vt:variant>
      <vt:variant>
        <vt:lpwstr>https://www.k-state.edu/civil-rights/</vt:lpwstr>
      </vt:variant>
      <vt:variant>
        <vt:lpwstr/>
      </vt:variant>
      <vt:variant>
        <vt:i4>262171</vt:i4>
      </vt:variant>
      <vt:variant>
        <vt:i4>45</vt:i4>
      </vt:variant>
      <vt:variant>
        <vt:i4>0</vt:i4>
      </vt:variant>
      <vt:variant>
        <vt:i4>5</vt:i4>
      </vt:variant>
      <vt:variant>
        <vt:lpwstr>https://www.k-state.edu/provost/policies-resources/university-handbook/fhsecf.html</vt:lpwstr>
      </vt:variant>
      <vt:variant>
        <vt:lpwstr>F62</vt:lpwstr>
      </vt:variant>
      <vt:variant>
        <vt:i4>2162806</vt:i4>
      </vt:variant>
      <vt:variant>
        <vt:i4>42</vt:i4>
      </vt:variant>
      <vt:variant>
        <vt:i4>0</vt:i4>
      </vt:variant>
      <vt:variant>
        <vt:i4>5</vt:i4>
      </vt:variant>
      <vt:variant>
        <vt:lpwstr>https://www.k-state.edu/provost/policies-resources/university-handbook/fhsecf.html</vt:lpwstr>
      </vt:variant>
      <vt:variant>
        <vt:lpwstr>examinations</vt:lpwstr>
      </vt:variant>
      <vt:variant>
        <vt:i4>5701662</vt:i4>
      </vt:variant>
      <vt:variant>
        <vt:i4>39</vt:i4>
      </vt:variant>
      <vt:variant>
        <vt:i4>0</vt:i4>
      </vt:variant>
      <vt:variant>
        <vt:i4>5</vt:i4>
      </vt:variant>
      <vt:variant>
        <vt:lpwstr>https://www.k-state.edu/provost/policies-resources/university-handbook/fhsecf.html</vt:lpwstr>
      </vt:variant>
      <vt:variant>
        <vt:lpwstr>grades</vt:lpwstr>
      </vt:variant>
      <vt:variant>
        <vt:i4>1179663</vt:i4>
      </vt:variant>
      <vt:variant>
        <vt:i4>36</vt:i4>
      </vt:variant>
      <vt:variant>
        <vt:i4>0</vt:i4>
      </vt:variant>
      <vt:variant>
        <vt:i4>5</vt:i4>
      </vt:variant>
      <vt:variant>
        <vt:lpwstr>https://www.hlcommission.org/accreditation/policies/criteria/</vt:lpwstr>
      </vt:variant>
      <vt:variant>
        <vt:lpwstr/>
      </vt:variant>
      <vt:variant>
        <vt:i4>2883706</vt:i4>
      </vt:variant>
      <vt:variant>
        <vt:i4>33</vt:i4>
      </vt:variant>
      <vt:variant>
        <vt:i4>0</vt:i4>
      </vt:variant>
      <vt:variant>
        <vt:i4>5</vt:i4>
      </vt:variant>
      <vt:variant>
        <vt:lpwstr>https://www.k-state.edu/policies/ppm/3400/3410.html</vt:lpwstr>
      </vt:variant>
      <vt:variant>
        <vt:lpwstr/>
      </vt:variant>
      <vt:variant>
        <vt:i4>1376329</vt:i4>
      </vt:variant>
      <vt:variant>
        <vt:i4>30</vt:i4>
      </vt:variant>
      <vt:variant>
        <vt:i4>0</vt:i4>
      </vt:variant>
      <vt:variant>
        <vt:i4>5</vt:i4>
      </vt:variant>
      <vt:variant>
        <vt:lpwstr>https://k-state.instructure.com/</vt:lpwstr>
      </vt:variant>
      <vt:variant>
        <vt:lpwstr/>
      </vt:variant>
      <vt:variant>
        <vt:i4>262171</vt:i4>
      </vt:variant>
      <vt:variant>
        <vt:i4>27</vt:i4>
      </vt:variant>
      <vt:variant>
        <vt:i4>0</vt:i4>
      </vt:variant>
      <vt:variant>
        <vt:i4>5</vt:i4>
      </vt:variant>
      <vt:variant>
        <vt:lpwstr>https://www.k-state.edu/provost/policies-resources/university-handbook/fhsecf.html</vt:lpwstr>
      </vt:variant>
      <vt:variant>
        <vt:lpwstr>F67</vt:lpwstr>
      </vt:variant>
      <vt:variant>
        <vt:i4>3276927</vt:i4>
      </vt:variant>
      <vt:variant>
        <vt:i4>24</vt:i4>
      </vt:variant>
      <vt:variant>
        <vt:i4>0</vt:i4>
      </vt:variant>
      <vt:variant>
        <vt:i4>5</vt:i4>
      </vt:variant>
      <vt:variant>
        <vt:lpwstr>https://www.k-state.edu/provost/policies-resources/university-handbook/fhsecd.html</vt:lpwstr>
      </vt:variant>
      <vt:variant>
        <vt:lpwstr/>
      </vt:variant>
      <vt:variant>
        <vt:i4>4915280</vt:i4>
      </vt:variant>
      <vt:variant>
        <vt:i4>21</vt:i4>
      </vt:variant>
      <vt:variant>
        <vt:i4>0</vt:i4>
      </vt:variant>
      <vt:variant>
        <vt:i4>5</vt:i4>
      </vt:variant>
      <vt:variant>
        <vt:lpwstr>https://www.ecfr.gov/current/title-34/subtitle-B/chapter-VI/part-600/subpart-A/section-600.2</vt:lpwstr>
      </vt:variant>
      <vt:variant>
        <vt:lpwstr/>
      </vt:variant>
      <vt:variant>
        <vt:i4>8061031</vt:i4>
      </vt:variant>
      <vt:variant>
        <vt:i4>18</vt:i4>
      </vt:variant>
      <vt:variant>
        <vt:i4>0</vt:i4>
      </vt:variant>
      <vt:variant>
        <vt:i4>5</vt:i4>
      </vt:variant>
      <vt:variant>
        <vt:lpwstr>https://www.hlcommission.org/accreditation/policies/assumed-practices/</vt:lpwstr>
      </vt:variant>
      <vt:variant>
        <vt:lpwstr/>
      </vt:variant>
      <vt:variant>
        <vt:i4>1179663</vt:i4>
      </vt:variant>
      <vt:variant>
        <vt:i4>15</vt:i4>
      </vt:variant>
      <vt:variant>
        <vt:i4>0</vt:i4>
      </vt:variant>
      <vt:variant>
        <vt:i4>5</vt:i4>
      </vt:variant>
      <vt:variant>
        <vt:lpwstr>https://www.hlcommission.org/accreditation/policies/criteria/</vt:lpwstr>
      </vt:variant>
      <vt:variant>
        <vt:lpwstr/>
      </vt:variant>
      <vt:variant>
        <vt:i4>6619188</vt:i4>
      </vt:variant>
      <vt:variant>
        <vt:i4>12</vt:i4>
      </vt:variant>
      <vt:variant>
        <vt:i4>0</vt:i4>
      </vt:variant>
      <vt:variant>
        <vt:i4>5</vt:i4>
      </vt:variant>
      <vt:variant>
        <vt:lpwstr>https://www.ecfr.gov/current/title-34/subtitle-B/chapter-VI/part-668/subpart-D</vt:lpwstr>
      </vt:variant>
      <vt:variant>
        <vt:lpwstr/>
      </vt:variant>
      <vt:variant>
        <vt:i4>3014752</vt:i4>
      </vt:variant>
      <vt:variant>
        <vt:i4>9</vt:i4>
      </vt:variant>
      <vt:variant>
        <vt:i4>0</vt:i4>
      </vt:variant>
      <vt:variant>
        <vt:i4>5</vt:i4>
      </vt:variant>
      <vt:variant>
        <vt:lpwstr>https://ksrevisor.gov/statutes/chapters/ch45/045_002_0015.html</vt:lpwstr>
      </vt:variant>
      <vt:variant>
        <vt:lpwstr/>
      </vt:variant>
      <vt:variant>
        <vt:i4>8060932</vt:i4>
      </vt:variant>
      <vt:variant>
        <vt:i4>6</vt:i4>
      </vt:variant>
      <vt:variant>
        <vt:i4>0</vt:i4>
      </vt:variant>
      <vt:variant>
        <vt:i4>5</vt:i4>
      </vt:variant>
      <vt:variant>
        <vt:lpwstr>https://www.k-state.edu/registrar/faculty-staff/acadclassschedule/course_scheduling/instructionalmode/</vt:lpwstr>
      </vt:variant>
      <vt:variant>
        <vt:lpwstr/>
      </vt:variant>
      <vt:variant>
        <vt:i4>4915280</vt:i4>
      </vt:variant>
      <vt:variant>
        <vt:i4>3</vt:i4>
      </vt:variant>
      <vt:variant>
        <vt:i4>0</vt:i4>
      </vt:variant>
      <vt:variant>
        <vt:i4>5</vt:i4>
      </vt:variant>
      <vt:variant>
        <vt:lpwstr>https://www.ecfr.gov/current/title-34/subtitle-B/chapter-VI/part-600/subpart-A/section-600.2</vt:lpwstr>
      </vt:variant>
      <vt:variant>
        <vt:lpwstr/>
      </vt:variant>
      <vt:variant>
        <vt:i4>1507399</vt:i4>
      </vt:variant>
      <vt:variant>
        <vt:i4>0</vt:i4>
      </vt:variant>
      <vt:variant>
        <vt:i4>0</vt:i4>
      </vt:variant>
      <vt:variant>
        <vt:i4>5</vt:i4>
      </vt:variant>
      <vt:variant>
        <vt:lpwstr>https://ksuemailprod-my.sharepoint.com/:b:/g/personal/mohrschroeder_ksu_edu/IQBjGg7oiKjKQYYIIJm6inxxAQVNzFbVrji6J7Ue5C6Czxk?e=x6H5Xp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Susanne Renberg</cp:lastModifiedBy>
  <cp:revision>620</cp:revision>
  <cp:lastPrinted>2026-05-05T17:32:00Z</cp:lastPrinted>
  <dcterms:created xsi:type="dcterms:W3CDTF">2026-04-07T02:45:00Z</dcterms:created>
  <dcterms:modified xsi:type="dcterms:W3CDTF">2026-05-21T21:24:00Z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0x0101007483092EAEF06445931D2D77D18837FE</vt:lpwstr>
  </property>
  <property fmtid="{D5CDD505-2E9C-101B-9397-08002B2CF9AE}" pid="3" name="GrammarlyDocumentId">
    <vt:lpwstr>e19347bd-bc36-40e7-8117-6ceef3159321</vt:lpwstr>
  </property>
  <property fmtid="{D5CDD505-2E9C-101B-9397-08002B2CF9AE}" pid="4" name="MediaServiceImageTags">
    <vt:lpwstr/>
  </property>
</Properties>
</file>