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BC" w:rsidRPr="00D42DBC" w:rsidRDefault="00D42DBC" w:rsidP="00D42DBC">
      <w:pPr>
        <w:rPr>
          <w:b/>
          <w:sz w:val="24"/>
          <w:szCs w:val="24"/>
        </w:rPr>
      </w:pPr>
      <w:r w:rsidRPr="00D42DBC">
        <w:rPr>
          <w:b/>
          <w:sz w:val="24"/>
          <w:szCs w:val="24"/>
        </w:rPr>
        <w:t>DEPARTMENT OF</w:t>
      </w:r>
      <w:r>
        <w:rPr>
          <w:b/>
          <w:sz w:val="24"/>
          <w:szCs w:val="24"/>
        </w:rPr>
        <w:t xml:space="preserve"> MANAGEMENT</w:t>
      </w:r>
    </w:p>
    <w:p w:rsidR="00D42DBC" w:rsidRPr="00D42DBC" w:rsidRDefault="00D42DBC" w:rsidP="00D42DBC">
      <w:pPr>
        <w:rPr>
          <w:b/>
          <w:sz w:val="24"/>
          <w:szCs w:val="24"/>
        </w:rPr>
      </w:pPr>
    </w:p>
    <w:p w:rsidR="00D42DBC" w:rsidRPr="00D42DBC" w:rsidRDefault="00D42DBC" w:rsidP="00D42DBC">
      <w:pPr>
        <w:rPr>
          <w:b/>
          <w:sz w:val="24"/>
          <w:szCs w:val="24"/>
        </w:rPr>
      </w:pPr>
    </w:p>
    <w:p w:rsidR="00D42DBC" w:rsidRPr="00D42DBC" w:rsidRDefault="00D42DBC" w:rsidP="00D42DBC">
      <w:pPr>
        <w:rPr>
          <w:b/>
          <w:sz w:val="24"/>
          <w:szCs w:val="24"/>
        </w:rPr>
      </w:pPr>
      <w:r w:rsidRPr="00D42DBC">
        <w:rPr>
          <w:b/>
          <w:sz w:val="24"/>
          <w:szCs w:val="24"/>
        </w:rPr>
        <w:t>ANNUAL EVALUATION GUIDELINES</w:t>
      </w:r>
    </w:p>
    <w:p w:rsidR="00D42DBC" w:rsidRPr="00D42DBC" w:rsidRDefault="00D42DBC" w:rsidP="00D42DBC">
      <w:pPr>
        <w:rPr>
          <w:b/>
          <w:sz w:val="24"/>
          <w:szCs w:val="24"/>
        </w:rPr>
      </w:pPr>
      <w:r w:rsidRPr="00D42DBC">
        <w:rPr>
          <w:b/>
          <w:sz w:val="24"/>
          <w:szCs w:val="24"/>
        </w:rPr>
        <w:t xml:space="preserve">(Approved by Faculty Vote on </w:t>
      </w:r>
      <w:r>
        <w:rPr>
          <w:b/>
          <w:sz w:val="24"/>
          <w:szCs w:val="24"/>
        </w:rPr>
        <w:t>May 6, 2011</w:t>
      </w:r>
      <w:r w:rsidRPr="00D42DBC">
        <w:rPr>
          <w:b/>
          <w:sz w:val="24"/>
          <w:szCs w:val="24"/>
        </w:rPr>
        <w:t>)</w:t>
      </w:r>
    </w:p>
    <w:p w:rsidR="00D42DBC" w:rsidRPr="00D42DBC" w:rsidRDefault="00D42DBC" w:rsidP="00D42DBC">
      <w:pPr>
        <w:rPr>
          <w:b/>
          <w:sz w:val="24"/>
          <w:szCs w:val="24"/>
        </w:rPr>
      </w:pPr>
    </w:p>
    <w:p w:rsidR="00D42DBC" w:rsidRPr="00D42DBC" w:rsidRDefault="00D42DBC" w:rsidP="00D42DBC">
      <w:pPr>
        <w:rPr>
          <w:b/>
          <w:sz w:val="24"/>
          <w:szCs w:val="24"/>
        </w:rPr>
      </w:pPr>
      <w:r w:rsidRPr="00D42DBC">
        <w:rPr>
          <w:b/>
          <w:sz w:val="24"/>
          <w:szCs w:val="24"/>
        </w:rPr>
        <w:t>PROMOTION AND TENURE GUIDELINES</w:t>
      </w:r>
    </w:p>
    <w:p w:rsidR="00D42DBC" w:rsidRPr="00D42DBC" w:rsidRDefault="00D42DBC" w:rsidP="00D42DBC">
      <w:pPr>
        <w:rPr>
          <w:b/>
          <w:sz w:val="24"/>
          <w:szCs w:val="24"/>
        </w:rPr>
      </w:pPr>
      <w:r w:rsidRPr="00D42DBC">
        <w:rPr>
          <w:b/>
          <w:sz w:val="24"/>
          <w:szCs w:val="24"/>
        </w:rPr>
        <w:t xml:space="preserve">(Approved by Faculty Vote on </w:t>
      </w:r>
      <w:r>
        <w:rPr>
          <w:b/>
          <w:sz w:val="24"/>
          <w:szCs w:val="24"/>
        </w:rPr>
        <w:t>May 6, 2011</w:t>
      </w:r>
      <w:r w:rsidRPr="00D42DBC">
        <w:rPr>
          <w:b/>
          <w:sz w:val="24"/>
          <w:szCs w:val="24"/>
        </w:rPr>
        <w:t>)</w:t>
      </w:r>
    </w:p>
    <w:p w:rsidR="00D42DBC" w:rsidRPr="00D42DBC" w:rsidRDefault="00D42DBC" w:rsidP="00D42DBC">
      <w:pPr>
        <w:rPr>
          <w:b/>
          <w:sz w:val="24"/>
          <w:szCs w:val="24"/>
        </w:rPr>
      </w:pPr>
    </w:p>
    <w:p w:rsidR="00D42DBC" w:rsidRPr="00D42DBC" w:rsidRDefault="00D42DBC" w:rsidP="00D42DBC">
      <w:pPr>
        <w:jc w:val="center"/>
        <w:rPr>
          <w:b/>
          <w:sz w:val="24"/>
          <w:szCs w:val="24"/>
        </w:rPr>
      </w:pPr>
    </w:p>
    <w:p w:rsidR="00D42DBC" w:rsidRPr="00D42DBC" w:rsidRDefault="00D42DBC" w:rsidP="00D42DBC">
      <w:pPr>
        <w:rPr>
          <w:b/>
          <w:sz w:val="24"/>
          <w:szCs w:val="24"/>
        </w:rPr>
      </w:pPr>
      <w:r w:rsidRPr="00D42DBC">
        <w:rPr>
          <w:sz w:val="24"/>
          <w:szCs w:val="24"/>
        </w:rPr>
        <w:t xml:space="preserve">REVIEW DATE FOR ANNUAL EVALUATION GUIDELINES *(WHICH INCLUDES THE CHRONIC LOW ACHIEVEMENT STATEMENT AND THE PROFESSORIAL PERFORMANCE AWARD): </w:t>
      </w:r>
      <w:r w:rsidRPr="00D42DBC">
        <w:rPr>
          <w:b/>
          <w:sz w:val="24"/>
          <w:szCs w:val="24"/>
        </w:rPr>
        <w:t>May 2016</w:t>
      </w:r>
    </w:p>
    <w:p w:rsidR="00D42DBC" w:rsidRPr="00D42DBC" w:rsidRDefault="00D42DBC" w:rsidP="00D42DBC">
      <w:pPr>
        <w:rPr>
          <w:sz w:val="24"/>
          <w:szCs w:val="24"/>
        </w:rPr>
      </w:pPr>
    </w:p>
    <w:p w:rsidR="00D42DBC" w:rsidRPr="00D42DBC" w:rsidRDefault="00D42DBC" w:rsidP="00D42DBC">
      <w:pPr>
        <w:rPr>
          <w:b/>
          <w:sz w:val="24"/>
          <w:szCs w:val="24"/>
        </w:rPr>
      </w:pPr>
      <w:r w:rsidRPr="00D42DBC">
        <w:rPr>
          <w:sz w:val="24"/>
          <w:szCs w:val="24"/>
        </w:rPr>
        <w:t xml:space="preserve">REVIEW DATE FOR PROMOTION AND TENURE GUIDELINES*: </w:t>
      </w:r>
      <w:r w:rsidRPr="00D42DBC">
        <w:rPr>
          <w:b/>
          <w:sz w:val="24"/>
          <w:szCs w:val="24"/>
        </w:rPr>
        <w:t>May 2016</w:t>
      </w:r>
    </w:p>
    <w:p w:rsidR="00D42DBC" w:rsidRPr="00D42DBC" w:rsidRDefault="00D42DBC" w:rsidP="00D42DBC">
      <w:pPr>
        <w:rPr>
          <w:b/>
          <w:sz w:val="24"/>
          <w:szCs w:val="24"/>
        </w:rPr>
      </w:pPr>
    </w:p>
    <w:p w:rsidR="00D42DBC" w:rsidRPr="00D42DBC" w:rsidRDefault="00D42DBC" w:rsidP="00D42DBC">
      <w:pPr>
        <w:rPr>
          <w:b/>
          <w:sz w:val="24"/>
          <w:szCs w:val="24"/>
        </w:rPr>
      </w:pPr>
    </w:p>
    <w:p w:rsidR="00D42DBC" w:rsidRPr="00D42DBC" w:rsidRDefault="00D42DBC" w:rsidP="00D42DBC">
      <w:pPr>
        <w:rPr>
          <w:b/>
          <w:sz w:val="24"/>
          <w:szCs w:val="24"/>
        </w:rPr>
      </w:pPr>
    </w:p>
    <w:p w:rsidR="00D42DBC" w:rsidRPr="00D42DBC" w:rsidRDefault="00D42DBC" w:rsidP="00D42DBC">
      <w:pPr>
        <w:rPr>
          <w:b/>
          <w:sz w:val="24"/>
          <w:szCs w:val="24"/>
        </w:rPr>
      </w:pPr>
      <w:proofErr w:type="spellStart"/>
      <w:r>
        <w:rPr>
          <w:b/>
          <w:sz w:val="24"/>
          <w:szCs w:val="24"/>
        </w:rPr>
        <w:t>Chwen</w:t>
      </w:r>
      <w:proofErr w:type="spellEnd"/>
      <w:r>
        <w:rPr>
          <w:b/>
          <w:sz w:val="24"/>
          <w:szCs w:val="24"/>
        </w:rPr>
        <w:t xml:space="preserve"> </w:t>
      </w:r>
      <w:proofErr w:type="spellStart"/>
      <w:r>
        <w:rPr>
          <w:b/>
          <w:sz w:val="24"/>
          <w:szCs w:val="24"/>
        </w:rPr>
        <w:t>Sheu</w:t>
      </w:r>
      <w:proofErr w:type="spellEnd"/>
      <w:r w:rsidRPr="00D42DBC">
        <w:rPr>
          <w:b/>
          <w:sz w:val="24"/>
          <w:szCs w:val="24"/>
        </w:rPr>
        <w:t>, Department Head</w:t>
      </w:r>
    </w:p>
    <w:p w:rsidR="00D42DBC" w:rsidRPr="00D42DBC" w:rsidRDefault="00D42DBC" w:rsidP="00D42DBC">
      <w:pPr>
        <w:rPr>
          <w:b/>
          <w:sz w:val="24"/>
          <w:szCs w:val="24"/>
        </w:rPr>
      </w:pPr>
      <w:r w:rsidRPr="00D42DBC">
        <w:rPr>
          <w:b/>
          <w:sz w:val="24"/>
          <w:szCs w:val="24"/>
        </w:rPr>
        <w:t xml:space="preserve">Date signed: </w:t>
      </w:r>
      <w:r>
        <w:rPr>
          <w:b/>
          <w:sz w:val="24"/>
          <w:szCs w:val="24"/>
        </w:rPr>
        <w:t>5/13/2011</w:t>
      </w:r>
    </w:p>
    <w:p w:rsidR="00D42DBC" w:rsidRPr="00D42DBC" w:rsidRDefault="00D42DBC" w:rsidP="00D42DBC">
      <w:pPr>
        <w:rPr>
          <w:b/>
          <w:sz w:val="24"/>
          <w:szCs w:val="24"/>
        </w:rPr>
      </w:pPr>
    </w:p>
    <w:p w:rsidR="00D42DBC" w:rsidRPr="00D42DBC" w:rsidRDefault="00D42DBC" w:rsidP="00D42DBC">
      <w:pPr>
        <w:rPr>
          <w:b/>
          <w:sz w:val="24"/>
          <w:szCs w:val="24"/>
        </w:rPr>
      </w:pPr>
      <w:proofErr w:type="spellStart"/>
      <w:r>
        <w:rPr>
          <w:b/>
          <w:sz w:val="24"/>
          <w:szCs w:val="24"/>
        </w:rPr>
        <w:t>Yar</w:t>
      </w:r>
      <w:proofErr w:type="spellEnd"/>
      <w:r>
        <w:rPr>
          <w:b/>
          <w:sz w:val="24"/>
          <w:szCs w:val="24"/>
        </w:rPr>
        <w:t xml:space="preserve"> </w:t>
      </w:r>
      <w:proofErr w:type="spellStart"/>
      <w:r>
        <w:rPr>
          <w:b/>
          <w:sz w:val="24"/>
          <w:szCs w:val="24"/>
        </w:rPr>
        <w:t>Ebadi</w:t>
      </w:r>
      <w:proofErr w:type="spellEnd"/>
      <w:r w:rsidRPr="00D42DBC">
        <w:rPr>
          <w:b/>
          <w:sz w:val="24"/>
          <w:szCs w:val="24"/>
        </w:rPr>
        <w:t xml:space="preserve">, Dean </w:t>
      </w:r>
    </w:p>
    <w:p w:rsidR="00D42DBC" w:rsidRPr="00D42DBC" w:rsidRDefault="00D42DBC" w:rsidP="00D42DBC">
      <w:pPr>
        <w:rPr>
          <w:b/>
          <w:sz w:val="24"/>
          <w:szCs w:val="24"/>
        </w:rPr>
      </w:pPr>
      <w:r w:rsidRPr="00D42DBC">
        <w:rPr>
          <w:b/>
          <w:sz w:val="24"/>
          <w:szCs w:val="24"/>
        </w:rPr>
        <w:t>Date signed:</w:t>
      </w:r>
      <w:r>
        <w:rPr>
          <w:b/>
          <w:sz w:val="24"/>
          <w:szCs w:val="24"/>
        </w:rPr>
        <w:t xml:space="preserve"> 5/19/2011</w:t>
      </w:r>
    </w:p>
    <w:p w:rsidR="00D42DBC" w:rsidRPr="00D42DBC" w:rsidRDefault="00D42DBC" w:rsidP="00D42DBC">
      <w:pPr>
        <w:rPr>
          <w:b/>
          <w:sz w:val="24"/>
          <w:szCs w:val="24"/>
        </w:rPr>
      </w:pPr>
    </w:p>
    <w:p w:rsidR="00D42DBC" w:rsidRPr="00D42DBC" w:rsidRDefault="00D42DBC" w:rsidP="00D42DBC">
      <w:pPr>
        <w:rPr>
          <w:b/>
          <w:sz w:val="24"/>
          <w:szCs w:val="24"/>
        </w:rPr>
      </w:pPr>
      <w:r w:rsidRPr="00D42DBC">
        <w:rPr>
          <w:b/>
          <w:sz w:val="24"/>
          <w:szCs w:val="24"/>
        </w:rPr>
        <w:t>April C. Mason, Provost and Senior Vice President</w:t>
      </w:r>
    </w:p>
    <w:p w:rsidR="00D42DBC" w:rsidRPr="00D42DBC" w:rsidRDefault="00D42DBC" w:rsidP="00D42DBC">
      <w:pPr>
        <w:rPr>
          <w:b/>
          <w:sz w:val="24"/>
          <w:szCs w:val="24"/>
        </w:rPr>
      </w:pPr>
      <w:r w:rsidRPr="00D42DBC">
        <w:rPr>
          <w:b/>
          <w:sz w:val="24"/>
          <w:szCs w:val="24"/>
        </w:rPr>
        <w:t xml:space="preserve">Date signed: </w:t>
      </w:r>
      <w:r>
        <w:rPr>
          <w:b/>
          <w:sz w:val="24"/>
          <w:szCs w:val="24"/>
        </w:rPr>
        <w:t>11/20/2011</w:t>
      </w:r>
    </w:p>
    <w:p w:rsidR="00D42DBC" w:rsidRPr="00D42DBC" w:rsidRDefault="00D42DBC" w:rsidP="00D42DBC">
      <w:pPr>
        <w:rPr>
          <w:sz w:val="24"/>
          <w:szCs w:val="24"/>
        </w:rPr>
      </w:pPr>
    </w:p>
    <w:p w:rsidR="00D42DBC" w:rsidRPr="00D42DBC" w:rsidRDefault="00D42DBC" w:rsidP="00D42DBC">
      <w:pPr>
        <w:rPr>
          <w:sz w:val="24"/>
          <w:szCs w:val="24"/>
        </w:rPr>
      </w:pPr>
    </w:p>
    <w:p w:rsidR="00D42DBC" w:rsidRPr="00D42DBC" w:rsidRDefault="00D42DBC" w:rsidP="00D42DBC">
      <w:pPr>
        <w:rPr>
          <w:sz w:val="24"/>
          <w:szCs w:val="24"/>
        </w:rPr>
      </w:pPr>
    </w:p>
    <w:p w:rsidR="00D42DBC" w:rsidRDefault="00D42DBC" w:rsidP="00D42DBC"/>
    <w:p w:rsidR="00D42DBC" w:rsidRDefault="00D42DBC" w:rsidP="00D42DBC"/>
    <w:p w:rsidR="00D42DBC" w:rsidRDefault="00D42DBC" w:rsidP="00D42DBC"/>
    <w:p w:rsidR="00D42DBC" w:rsidRDefault="00D42DBC" w:rsidP="00D42DBC"/>
    <w:p w:rsidR="00D42DBC" w:rsidRDefault="00D42DBC" w:rsidP="00D42DBC">
      <w:pPr>
        <w:pStyle w:val="BodyText"/>
      </w:pPr>
      <w:r>
        <w:t>*Each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provost.  In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w:t>
      </w:r>
    </w:p>
    <w:p w:rsidR="00D42DBC" w:rsidRDefault="00D42DBC">
      <w:pPr>
        <w:rPr>
          <w:b/>
          <w:bCs/>
          <w:sz w:val="22"/>
        </w:rPr>
      </w:pPr>
      <w:r>
        <w:br w:type="page"/>
      </w:r>
    </w:p>
    <w:p w:rsidR="00365416" w:rsidRDefault="00365416">
      <w:pPr>
        <w:pStyle w:val="Title"/>
      </w:pPr>
    </w:p>
    <w:p w:rsidR="009D0D7B" w:rsidRPr="008C25D0" w:rsidRDefault="009D0D7B">
      <w:pPr>
        <w:pStyle w:val="Title"/>
      </w:pPr>
    </w:p>
    <w:p w:rsidR="002C617D" w:rsidRDefault="002C617D">
      <w:pPr>
        <w:pStyle w:val="Title"/>
        <w:rPr>
          <w:caps/>
          <w:sz w:val="28"/>
        </w:rPr>
      </w:pPr>
      <w:r>
        <w:rPr>
          <w:caps/>
          <w:sz w:val="28"/>
        </w:rPr>
        <w:t>Department of Management</w:t>
      </w:r>
    </w:p>
    <w:p w:rsidR="002C617D" w:rsidRDefault="002C617D">
      <w:pPr>
        <w:pStyle w:val="Title"/>
        <w:rPr>
          <w:caps/>
          <w:sz w:val="28"/>
        </w:rPr>
      </w:pPr>
      <w:smartTag w:uri="urn:schemas-microsoft-com:office:smarttags" w:element="place">
        <w:smartTag w:uri="urn:schemas-microsoft-com:office:smarttags" w:element="PlaceType">
          <w:r>
            <w:rPr>
              <w:caps/>
              <w:sz w:val="28"/>
            </w:rPr>
            <w:t>College</w:t>
          </w:r>
        </w:smartTag>
        <w:r>
          <w:rPr>
            <w:caps/>
            <w:sz w:val="28"/>
          </w:rPr>
          <w:t xml:space="preserve"> of </w:t>
        </w:r>
        <w:smartTag w:uri="urn:schemas-microsoft-com:office:smarttags" w:element="PlaceName">
          <w:r>
            <w:rPr>
              <w:caps/>
              <w:sz w:val="28"/>
            </w:rPr>
            <w:t>Business Administration</w:t>
          </w:r>
        </w:smartTag>
      </w:smartTag>
    </w:p>
    <w:p w:rsidR="002C617D" w:rsidRDefault="002C617D">
      <w:pPr>
        <w:pStyle w:val="Title"/>
        <w:rPr>
          <w:caps/>
          <w:sz w:val="28"/>
        </w:rPr>
      </w:pPr>
    </w:p>
    <w:p w:rsidR="002C617D" w:rsidRDefault="002C617D">
      <w:pPr>
        <w:pStyle w:val="Title"/>
        <w:rPr>
          <w:caps/>
          <w:sz w:val="28"/>
        </w:rPr>
      </w:pPr>
      <w:r>
        <w:rPr>
          <w:caps/>
          <w:sz w:val="28"/>
        </w:rPr>
        <w:t>Policy Statement Concerning:</w:t>
      </w:r>
    </w:p>
    <w:p w:rsidR="002C617D" w:rsidRDefault="002C617D">
      <w:pPr>
        <w:pStyle w:val="Title"/>
        <w:rPr>
          <w:caps/>
          <w:sz w:val="28"/>
        </w:rPr>
      </w:pPr>
    </w:p>
    <w:p w:rsidR="002C617D" w:rsidRDefault="002C617D" w:rsidP="002C617D">
      <w:pPr>
        <w:pStyle w:val="Title"/>
        <w:spacing w:before="120"/>
        <w:rPr>
          <w:sz w:val="28"/>
        </w:rPr>
      </w:pPr>
      <w:r>
        <w:rPr>
          <w:sz w:val="28"/>
        </w:rPr>
        <w:t>Annual Evaluations</w:t>
      </w:r>
    </w:p>
    <w:p w:rsidR="002C617D" w:rsidRDefault="002C617D" w:rsidP="002C617D">
      <w:pPr>
        <w:pStyle w:val="Title"/>
        <w:spacing w:before="120"/>
        <w:rPr>
          <w:sz w:val="28"/>
        </w:rPr>
      </w:pPr>
      <w:r>
        <w:rPr>
          <w:sz w:val="28"/>
        </w:rPr>
        <w:t xml:space="preserve">(Including Professorial Performance Award Criteria and </w:t>
      </w:r>
    </w:p>
    <w:p w:rsidR="002C617D" w:rsidRDefault="002C617D" w:rsidP="002C617D">
      <w:pPr>
        <w:pStyle w:val="Title"/>
        <w:spacing w:before="120"/>
        <w:rPr>
          <w:sz w:val="28"/>
        </w:rPr>
      </w:pPr>
      <w:r>
        <w:rPr>
          <w:sz w:val="28"/>
        </w:rPr>
        <w:t>Standards, and Chronic Low Achievement Standards)</w:t>
      </w:r>
    </w:p>
    <w:p w:rsidR="002C617D" w:rsidRDefault="002C617D" w:rsidP="002C617D">
      <w:pPr>
        <w:pStyle w:val="Title"/>
        <w:spacing w:before="120"/>
        <w:rPr>
          <w:sz w:val="28"/>
        </w:rPr>
      </w:pPr>
      <w:r>
        <w:rPr>
          <w:sz w:val="28"/>
        </w:rPr>
        <w:t xml:space="preserve">Approved by Faculty Vote on </w:t>
      </w:r>
      <w:r w:rsidR="00E014C2">
        <w:rPr>
          <w:sz w:val="28"/>
        </w:rPr>
        <w:t>May 6</w:t>
      </w:r>
      <w:r w:rsidR="00E63692">
        <w:rPr>
          <w:sz w:val="28"/>
        </w:rPr>
        <w:t>, 2011</w:t>
      </w:r>
    </w:p>
    <w:p w:rsidR="002C617D" w:rsidRDefault="002C617D" w:rsidP="002C617D">
      <w:pPr>
        <w:pStyle w:val="Title"/>
        <w:spacing w:before="120"/>
        <w:rPr>
          <w:sz w:val="28"/>
        </w:rPr>
      </w:pPr>
    </w:p>
    <w:p w:rsidR="002C617D" w:rsidRDefault="002C617D" w:rsidP="002C617D">
      <w:pPr>
        <w:pStyle w:val="Title"/>
        <w:spacing w:before="120"/>
        <w:rPr>
          <w:sz w:val="28"/>
        </w:rPr>
      </w:pPr>
      <w:r>
        <w:rPr>
          <w:sz w:val="28"/>
        </w:rPr>
        <w:t>Promotion, Tenure, Mid-Tenure Review and Reappointment</w:t>
      </w:r>
    </w:p>
    <w:p w:rsidR="002C617D" w:rsidRDefault="002C617D" w:rsidP="002C617D">
      <w:pPr>
        <w:pStyle w:val="Title"/>
        <w:spacing w:before="120"/>
        <w:rPr>
          <w:sz w:val="28"/>
        </w:rPr>
      </w:pPr>
      <w:r>
        <w:rPr>
          <w:sz w:val="28"/>
        </w:rPr>
        <w:t>Ap</w:t>
      </w:r>
      <w:r w:rsidR="00E014C2">
        <w:rPr>
          <w:sz w:val="28"/>
        </w:rPr>
        <w:t>proved by Faculty Vote on May 6</w:t>
      </w:r>
      <w:r>
        <w:rPr>
          <w:sz w:val="28"/>
        </w:rPr>
        <w:t>, 20</w:t>
      </w:r>
      <w:r w:rsidR="00E63692">
        <w:rPr>
          <w:sz w:val="28"/>
        </w:rPr>
        <w:t>11</w:t>
      </w:r>
    </w:p>
    <w:p w:rsidR="002C617D" w:rsidRDefault="002C617D" w:rsidP="002C617D">
      <w:pPr>
        <w:pStyle w:val="Title"/>
        <w:spacing w:before="120"/>
        <w:rPr>
          <w:sz w:val="28"/>
        </w:rPr>
      </w:pPr>
    </w:p>
    <w:p w:rsidR="00ED6FFF" w:rsidRDefault="00ED6FFF" w:rsidP="002C617D">
      <w:pPr>
        <w:pStyle w:val="Title"/>
        <w:spacing w:before="120"/>
        <w:rPr>
          <w:sz w:val="28"/>
        </w:rPr>
      </w:pPr>
    </w:p>
    <w:p w:rsidR="00ED6FFF" w:rsidRDefault="00ED6FFF" w:rsidP="002C617D">
      <w:pPr>
        <w:pStyle w:val="Title"/>
        <w:spacing w:before="120"/>
        <w:rPr>
          <w:sz w:val="28"/>
        </w:rPr>
      </w:pPr>
    </w:p>
    <w:p w:rsidR="00365416" w:rsidRDefault="00365416">
      <w:pPr>
        <w:pStyle w:val="Title"/>
        <w:spacing w:line="360" w:lineRule="auto"/>
        <w:jc w:val="left"/>
        <w:rPr>
          <w:b w:val="0"/>
          <w:bCs w:val="0"/>
          <w:sz w:val="24"/>
        </w:rPr>
      </w:pPr>
    </w:p>
    <w:p w:rsidR="002C617D" w:rsidRDefault="002C617D">
      <w:pPr>
        <w:pStyle w:val="Title"/>
        <w:spacing w:line="360" w:lineRule="auto"/>
        <w:jc w:val="left"/>
        <w:rPr>
          <w:b w:val="0"/>
          <w:bCs w:val="0"/>
          <w:sz w:val="24"/>
        </w:rPr>
      </w:pPr>
      <w:r>
        <w:rPr>
          <w:b w:val="0"/>
          <w:bCs w:val="0"/>
          <w:sz w:val="24"/>
        </w:rPr>
        <w:t>________________________________________________</w:t>
      </w:r>
      <w:r>
        <w:rPr>
          <w:b w:val="0"/>
          <w:bCs w:val="0"/>
          <w:sz w:val="24"/>
        </w:rPr>
        <w:tab/>
        <w:t>_____________________</w:t>
      </w:r>
    </w:p>
    <w:p w:rsidR="002C617D" w:rsidRDefault="00365416" w:rsidP="002C617D">
      <w:pPr>
        <w:pStyle w:val="Title"/>
        <w:tabs>
          <w:tab w:val="left" w:pos="630"/>
          <w:tab w:val="left" w:pos="6480"/>
          <w:tab w:val="left" w:pos="9000"/>
        </w:tabs>
        <w:jc w:val="left"/>
        <w:rPr>
          <w:sz w:val="24"/>
        </w:rPr>
      </w:pPr>
      <w:r w:rsidRPr="008C25D0">
        <w:rPr>
          <w:b w:val="0"/>
          <w:bCs w:val="0"/>
          <w:sz w:val="24"/>
        </w:rPr>
        <w:t xml:space="preserve"> </w:t>
      </w:r>
      <w:r w:rsidRPr="008C25D0">
        <w:rPr>
          <w:sz w:val="24"/>
        </w:rPr>
        <w:t xml:space="preserve">Department </w:t>
      </w:r>
      <w:r w:rsidR="002C617D">
        <w:rPr>
          <w:sz w:val="24"/>
        </w:rPr>
        <w:t>Head’s Signature</w:t>
      </w:r>
      <w:r w:rsidR="002C617D">
        <w:rPr>
          <w:sz w:val="24"/>
        </w:rPr>
        <w:tab/>
        <w:t>Date</w:t>
      </w:r>
    </w:p>
    <w:p w:rsidR="002C617D" w:rsidRDefault="002C617D" w:rsidP="002C617D">
      <w:pPr>
        <w:pStyle w:val="Title"/>
        <w:tabs>
          <w:tab w:val="left" w:pos="630"/>
          <w:tab w:val="left" w:pos="6480"/>
          <w:tab w:val="left" w:pos="9000"/>
        </w:tabs>
        <w:jc w:val="left"/>
        <w:rPr>
          <w:sz w:val="24"/>
        </w:rPr>
      </w:pPr>
    </w:p>
    <w:p w:rsidR="002C617D" w:rsidRDefault="002C617D" w:rsidP="002C617D">
      <w:pPr>
        <w:pStyle w:val="Title"/>
        <w:spacing w:line="360" w:lineRule="auto"/>
        <w:jc w:val="left"/>
        <w:rPr>
          <w:b w:val="0"/>
          <w:bCs w:val="0"/>
          <w:sz w:val="24"/>
        </w:rPr>
      </w:pPr>
    </w:p>
    <w:p w:rsidR="002C617D" w:rsidRDefault="002C617D" w:rsidP="002C617D">
      <w:pPr>
        <w:pStyle w:val="Title"/>
        <w:spacing w:line="360" w:lineRule="auto"/>
        <w:jc w:val="left"/>
        <w:rPr>
          <w:b w:val="0"/>
          <w:bCs w:val="0"/>
          <w:sz w:val="24"/>
        </w:rPr>
      </w:pPr>
      <w:r>
        <w:rPr>
          <w:b w:val="0"/>
          <w:bCs w:val="0"/>
          <w:sz w:val="24"/>
        </w:rPr>
        <w:t>________________________________________________</w:t>
      </w:r>
      <w:r>
        <w:rPr>
          <w:b w:val="0"/>
          <w:bCs w:val="0"/>
          <w:sz w:val="24"/>
        </w:rPr>
        <w:tab/>
        <w:t>_____________________</w:t>
      </w:r>
    </w:p>
    <w:p w:rsidR="002C617D" w:rsidRDefault="002C617D" w:rsidP="002C617D">
      <w:pPr>
        <w:pStyle w:val="Title"/>
        <w:tabs>
          <w:tab w:val="left" w:pos="630"/>
          <w:tab w:val="left" w:pos="6480"/>
          <w:tab w:val="left" w:pos="9000"/>
        </w:tabs>
        <w:jc w:val="left"/>
        <w:rPr>
          <w:sz w:val="24"/>
        </w:rPr>
      </w:pPr>
      <w:r w:rsidRPr="008C25D0">
        <w:rPr>
          <w:b w:val="0"/>
          <w:bCs w:val="0"/>
          <w:sz w:val="24"/>
        </w:rPr>
        <w:t xml:space="preserve"> </w:t>
      </w:r>
      <w:r>
        <w:rPr>
          <w:sz w:val="24"/>
        </w:rPr>
        <w:t>Dean’s Signature</w:t>
      </w:r>
      <w:r>
        <w:rPr>
          <w:sz w:val="24"/>
        </w:rPr>
        <w:tab/>
        <w:t>Date</w:t>
      </w:r>
    </w:p>
    <w:p w:rsidR="002C617D" w:rsidRDefault="002C617D" w:rsidP="002C617D">
      <w:pPr>
        <w:pStyle w:val="Title"/>
        <w:tabs>
          <w:tab w:val="left" w:pos="630"/>
          <w:tab w:val="left" w:pos="6480"/>
          <w:tab w:val="left" w:pos="9000"/>
        </w:tabs>
        <w:jc w:val="left"/>
        <w:rPr>
          <w:sz w:val="24"/>
        </w:rPr>
      </w:pPr>
    </w:p>
    <w:p w:rsidR="002C617D" w:rsidRDefault="002C617D" w:rsidP="002C617D">
      <w:pPr>
        <w:pStyle w:val="Title"/>
        <w:spacing w:line="360" w:lineRule="auto"/>
        <w:jc w:val="left"/>
        <w:rPr>
          <w:b w:val="0"/>
          <w:bCs w:val="0"/>
          <w:sz w:val="24"/>
        </w:rPr>
      </w:pPr>
    </w:p>
    <w:p w:rsidR="002C617D" w:rsidRDefault="002C617D" w:rsidP="002C617D">
      <w:pPr>
        <w:pStyle w:val="Title"/>
        <w:spacing w:line="360" w:lineRule="auto"/>
        <w:jc w:val="left"/>
        <w:rPr>
          <w:b w:val="0"/>
          <w:bCs w:val="0"/>
          <w:sz w:val="24"/>
        </w:rPr>
      </w:pPr>
      <w:r>
        <w:rPr>
          <w:b w:val="0"/>
          <w:bCs w:val="0"/>
          <w:sz w:val="24"/>
        </w:rPr>
        <w:t>________________________________________________</w:t>
      </w:r>
      <w:r>
        <w:rPr>
          <w:b w:val="0"/>
          <w:bCs w:val="0"/>
          <w:sz w:val="24"/>
        </w:rPr>
        <w:tab/>
        <w:t>_____________________</w:t>
      </w:r>
    </w:p>
    <w:p w:rsidR="002C617D" w:rsidRDefault="002C617D" w:rsidP="002C617D">
      <w:pPr>
        <w:pStyle w:val="Title"/>
        <w:tabs>
          <w:tab w:val="left" w:pos="630"/>
          <w:tab w:val="left" w:pos="6480"/>
          <w:tab w:val="left" w:pos="9000"/>
        </w:tabs>
        <w:jc w:val="left"/>
        <w:rPr>
          <w:sz w:val="24"/>
        </w:rPr>
      </w:pPr>
      <w:r w:rsidRPr="008C25D0">
        <w:rPr>
          <w:b w:val="0"/>
          <w:bCs w:val="0"/>
          <w:sz w:val="24"/>
        </w:rPr>
        <w:t xml:space="preserve"> </w:t>
      </w:r>
      <w:r>
        <w:rPr>
          <w:sz w:val="24"/>
        </w:rPr>
        <w:t>Provost’s Signature</w:t>
      </w:r>
      <w:r>
        <w:rPr>
          <w:sz w:val="24"/>
        </w:rPr>
        <w:tab/>
        <w:t>Date</w:t>
      </w:r>
    </w:p>
    <w:p w:rsidR="00365416" w:rsidRPr="008C25D0" w:rsidRDefault="00365416">
      <w:pPr>
        <w:pStyle w:val="Title"/>
        <w:tabs>
          <w:tab w:val="left" w:pos="3780"/>
          <w:tab w:val="left" w:pos="4500"/>
          <w:tab w:val="left" w:pos="9000"/>
        </w:tabs>
        <w:jc w:val="left"/>
      </w:pPr>
      <w:r w:rsidRPr="008C25D0">
        <w:rPr>
          <w:sz w:val="24"/>
        </w:rPr>
        <w:tab/>
      </w:r>
    </w:p>
    <w:p w:rsidR="00365416" w:rsidRPr="008C25D0" w:rsidRDefault="00365416">
      <w:pPr>
        <w:pStyle w:val="Title"/>
        <w:tabs>
          <w:tab w:val="left" w:pos="3780"/>
          <w:tab w:val="left" w:pos="4500"/>
          <w:tab w:val="left" w:pos="9000"/>
        </w:tabs>
        <w:sectPr w:rsidR="00365416" w:rsidRPr="008C25D0">
          <w:footerReference w:type="even" r:id="rId8"/>
          <w:footerReference w:type="default" r:id="rId9"/>
          <w:pgSz w:w="12240" w:h="15840"/>
          <w:pgMar w:top="1296" w:right="1440" w:bottom="1296" w:left="1440" w:header="720" w:footer="720" w:gutter="0"/>
          <w:pgNumType w:start="1"/>
          <w:cols w:space="720"/>
          <w:titlePg/>
        </w:sectPr>
      </w:pPr>
    </w:p>
    <w:p w:rsidR="00365416" w:rsidRPr="002C66A0" w:rsidRDefault="00365416">
      <w:pPr>
        <w:pStyle w:val="Title"/>
        <w:tabs>
          <w:tab w:val="left" w:pos="3780"/>
          <w:tab w:val="left" w:pos="4500"/>
          <w:tab w:val="left" w:pos="9000"/>
        </w:tabs>
        <w:rPr>
          <w:sz w:val="28"/>
          <w:szCs w:val="28"/>
        </w:rPr>
      </w:pPr>
      <w:r w:rsidRPr="002C66A0">
        <w:rPr>
          <w:sz w:val="28"/>
          <w:szCs w:val="28"/>
        </w:rPr>
        <w:lastRenderedPageBreak/>
        <w:t>INTRODUCTION</w:t>
      </w:r>
    </w:p>
    <w:p w:rsidR="00365416" w:rsidRPr="008C25D0" w:rsidRDefault="00365416">
      <w:pPr>
        <w:rPr>
          <w:sz w:val="22"/>
        </w:rPr>
      </w:pPr>
    </w:p>
    <w:p w:rsidR="00365416" w:rsidRPr="008C25D0" w:rsidRDefault="00365416">
      <w:pPr>
        <w:pStyle w:val="BodyText"/>
      </w:pPr>
      <w:r w:rsidRPr="008C25D0">
        <w:t>The mission of the Department of Management is to provide instruction, research</w:t>
      </w:r>
      <w:r w:rsidR="00A11276">
        <w:rPr>
          <w:lang w:val="en-US"/>
        </w:rPr>
        <w:t>,</w:t>
      </w:r>
      <w:r w:rsidRPr="008C25D0">
        <w:t xml:space="preserve"> and service in the areas of strategic management and the management of human, information</w:t>
      </w:r>
      <w:r w:rsidR="00710043">
        <w:rPr>
          <w:lang w:val="en-US"/>
        </w:rPr>
        <w:t>,</w:t>
      </w:r>
      <w:r w:rsidRPr="008C25D0">
        <w:t xml:space="preserve"> and production resources.  The Department should facilitate and encourage all faculty members (including tenured, tenure-track and non-tenure track faculty) to participate in a broad spectrum of professional activities in accordance with this mission.  This document outlines the policies and procedures of the Department for evaluations regarding annual performance and salary adjustments, </w:t>
      </w:r>
      <w:r w:rsidR="002C617D">
        <w:t xml:space="preserve">including </w:t>
      </w:r>
      <w:r w:rsidR="002C617D" w:rsidRPr="008C25D0">
        <w:t xml:space="preserve">chronic low achievement, the </w:t>
      </w:r>
      <w:r w:rsidR="00A11276">
        <w:rPr>
          <w:lang w:val="en-US"/>
        </w:rPr>
        <w:t>P</w:t>
      </w:r>
      <w:proofErr w:type="spellStart"/>
      <w:r w:rsidR="002C617D" w:rsidRPr="008C25D0">
        <w:t>rofessorial</w:t>
      </w:r>
      <w:proofErr w:type="spellEnd"/>
      <w:r w:rsidR="002C617D" w:rsidRPr="008C25D0">
        <w:t xml:space="preserve"> </w:t>
      </w:r>
      <w:r w:rsidR="00A11276">
        <w:rPr>
          <w:lang w:val="en-US"/>
        </w:rPr>
        <w:t>P</w:t>
      </w:r>
      <w:proofErr w:type="spellStart"/>
      <w:r w:rsidR="002C617D" w:rsidRPr="008C25D0">
        <w:t>erformance</w:t>
      </w:r>
      <w:proofErr w:type="spellEnd"/>
      <w:r w:rsidR="002C617D" w:rsidRPr="008C25D0">
        <w:t xml:space="preserve"> </w:t>
      </w:r>
      <w:r w:rsidR="00A11276">
        <w:rPr>
          <w:lang w:val="en-US"/>
        </w:rPr>
        <w:t>A</w:t>
      </w:r>
      <w:r w:rsidR="002C617D" w:rsidRPr="008C25D0">
        <w:t>ward</w:t>
      </w:r>
      <w:r w:rsidR="002C617D">
        <w:t xml:space="preserve">, and decisions concerning promotion, </w:t>
      </w:r>
      <w:r w:rsidRPr="008C25D0">
        <w:t>tenure, mid-probati</w:t>
      </w:r>
      <w:r w:rsidR="00E01555" w:rsidRPr="008C25D0">
        <w:t>onary review,</w:t>
      </w:r>
      <w:r w:rsidR="002C617D" w:rsidRPr="002C617D">
        <w:t xml:space="preserve"> </w:t>
      </w:r>
      <w:r w:rsidR="002C617D">
        <w:t xml:space="preserve">and </w:t>
      </w:r>
      <w:r w:rsidR="002C617D" w:rsidRPr="008C25D0">
        <w:t>reappointment</w:t>
      </w:r>
      <w:r w:rsidRPr="008C25D0">
        <w:t xml:space="preserve">.  This document serves as a supplement to the policies and procedures stated in the Kansas State University </w:t>
      </w:r>
      <w:proofErr w:type="spellStart"/>
      <w:r w:rsidR="00E01555" w:rsidRPr="008C25D0">
        <w:rPr>
          <w:i/>
        </w:rPr>
        <w:t>University</w:t>
      </w:r>
      <w:proofErr w:type="spellEnd"/>
      <w:r w:rsidRPr="008C25D0">
        <w:rPr>
          <w:i/>
        </w:rPr>
        <w:t xml:space="preserve"> Handbook</w:t>
      </w:r>
      <w:r w:rsidRPr="008C25D0">
        <w:t xml:space="preserve"> (Sections C and D</w:t>
      </w:r>
      <w:r w:rsidR="00710043">
        <w:rPr>
          <w:lang w:val="en-US"/>
        </w:rPr>
        <w:t>;</w:t>
      </w:r>
      <w:r w:rsidRPr="008C25D0">
        <w:t xml:space="preserve"> Appendices A, C</w:t>
      </w:r>
      <w:r w:rsidR="00710043">
        <w:rPr>
          <w:lang w:val="en-US"/>
        </w:rPr>
        <w:t>,</w:t>
      </w:r>
      <w:r w:rsidRPr="008C25D0">
        <w:t xml:space="preserve"> and Q</w:t>
      </w:r>
      <w:r w:rsidR="00710043">
        <w:rPr>
          <w:lang w:val="en-US"/>
        </w:rPr>
        <w:t>;</w:t>
      </w:r>
      <w:r w:rsidRPr="008C25D0">
        <w:t xml:space="preserve"> and other related sections).  </w:t>
      </w:r>
    </w:p>
    <w:p w:rsidR="00365416" w:rsidRPr="008C25D0" w:rsidRDefault="00365416">
      <w:pPr>
        <w:spacing w:line="480" w:lineRule="auto"/>
        <w:ind w:left="360" w:hanging="360"/>
        <w:rPr>
          <w:sz w:val="22"/>
        </w:rPr>
      </w:pPr>
    </w:p>
    <w:p w:rsidR="00365416" w:rsidRPr="002C66A0" w:rsidRDefault="002C617D">
      <w:pPr>
        <w:pStyle w:val="Heading1"/>
        <w:numPr>
          <w:ilvl w:val="0"/>
          <w:numId w:val="0"/>
        </w:numPr>
        <w:jc w:val="center"/>
        <w:rPr>
          <w:sz w:val="28"/>
          <w:szCs w:val="28"/>
        </w:rPr>
      </w:pPr>
      <w:r w:rsidRPr="002C66A0">
        <w:rPr>
          <w:sz w:val="28"/>
          <w:szCs w:val="28"/>
        </w:rPr>
        <w:t>I.  Annual Evaluations</w:t>
      </w:r>
    </w:p>
    <w:p w:rsidR="00365416" w:rsidRDefault="0052080A" w:rsidP="0052080A">
      <w:pPr>
        <w:tabs>
          <w:tab w:val="left" w:pos="360"/>
        </w:tabs>
        <w:jc w:val="center"/>
        <w:rPr>
          <w:sz w:val="22"/>
        </w:rPr>
      </w:pPr>
      <w:r>
        <w:rPr>
          <w:sz w:val="22"/>
        </w:rPr>
        <w:t>(Includes Professorial Performance Award and Chronic Low Achievement)</w:t>
      </w:r>
    </w:p>
    <w:p w:rsidR="0052080A" w:rsidRPr="008C25D0" w:rsidRDefault="0052080A">
      <w:pPr>
        <w:tabs>
          <w:tab w:val="left" w:pos="360"/>
        </w:tabs>
        <w:rPr>
          <w:sz w:val="22"/>
        </w:rPr>
      </w:pPr>
    </w:p>
    <w:p w:rsidR="002C66A0" w:rsidRPr="002C66A0" w:rsidRDefault="00365416">
      <w:pPr>
        <w:pStyle w:val="Heading5"/>
        <w:rPr>
          <w:sz w:val="24"/>
          <w:szCs w:val="24"/>
        </w:rPr>
      </w:pPr>
      <w:proofErr w:type="gramStart"/>
      <w:r w:rsidRPr="002C66A0">
        <w:rPr>
          <w:sz w:val="24"/>
          <w:szCs w:val="24"/>
        </w:rPr>
        <w:t>I.A.</w:t>
      </w:r>
      <w:proofErr w:type="gramEnd"/>
      <w:r w:rsidRPr="002C66A0">
        <w:rPr>
          <w:sz w:val="24"/>
          <w:szCs w:val="24"/>
        </w:rPr>
        <w:t xml:space="preserve"> </w:t>
      </w:r>
      <w:r w:rsidR="0052080A">
        <w:rPr>
          <w:sz w:val="24"/>
          <w:szCs w:val="24"/>
        </w:rPr>
        <w:t xml:space="preserve"> </w:t>
      </w:r>
      <w:r w:rsidR="002C66A0" w:rsidRPr="002C66A0">
        <w:rPr>
          <w:sz w:val="24"/>
          <w:szCs w:val="24"/>
        </w:rPr>
        <w:t>Evaluations for Annual Performance and Merit Increases</w:t>
      </w:r>
    </w:p>
    <w:p w:rsidR="002C66A0" w:rsidRDefault="002C66A0" w:rsidP="002C66A0">
      <w:pPr>
        <w:pStyle w:val="Heading5"/>
        <w:tabs>
          <w:tab w:val="clear" w:pos="360"/>
          <w:tab w:val="left" w:pos="450"/>
        </w:tabs>
      </w:pPr>
    </w:p>
    <w:p w:rsidR="00365416" w:rsidRPr="002C66A0" w:rsidRDefault="002C66A0" w:rsidP="002C66A0">
      <w:pPr>
        <w:pStyle w:val="Heading5"/>
        <w:rPr>
          <w:sz w:val="24"/>
          <w:szCs w:val="24"/>
        </w:rPr>
      </w:pPr>
      <w:r>
        <w:tab/>
      </w:r>
      <w:r w:rsidRPr="002C66A0">
        <w:rPr>
          <w:sz w:val="24"/>
          <w:szCs w:val="24"/>
        </w:rPr>
        <w:t xml:space="preserve">1.  </w:t>
      </w:r>
      <w:r w:rsidR="00365416" w:rsidRPr="002C66A0">
        <w:rPr>
          <w:sz w:val="24"/>
          <w:szCs w:val="24"/>
        </w:rPr>
        <w:t>Procedures/Guidelines</w:t>
      </w:r>
    </w:p>
    <w:p w:rsidR="00365416" w:rsidRPr="008C25D0" w:rsidRDefault="00365416">
      <w:pPr>
        <w:tabs>
          <w:tab w:val="left" w:pos="360"/>
        </w:tabs>
        <w:rPr>
          <w:sz w:val="22"/>
        </w:rPr>
      </w:pPr>
    </w:p>
    <w:p w:rsidR="00365416" w:rsidRPr="008C25D0" w:rsidRDefault="00365416" w:rsidP="002C66A0">
      <w:pPr>
        <w:tabs>
          <w:tab w:val="left" w:pos="360"/>
        </w:tabs>
        <w:ind w:left="360"/>
        <w:rPr>
          <w:sz w:val="22"/>
        </w:rPr>
      </w:pPr>
      <w:r w:rsidRPr="008C25D0">
        <w:rPr>
          <w:sz w:val="22"/>
        </w:rPr>
        <w:t xml:space="preserve">The following procedures adhere to the provisions in Sections C40 – C48.3 of the </w:t>
      </w:r>
      <w:r w:rsidR="00CC3F00">
        <w:rPr>
          <w:i/>
          <w:sz w:val="22"/>
        </w:rPr>
        <w:t>University</w:t>
      </w:r>
      <w:r w:rsidRPr="008C25D0">
        <w:rPr>
          <w:i/>
          <w:sz w:val="22"/>
        </w:rPr>
        <w:t xml:space="preserve"> Handbook</w:t>
      </w:r>
      <w:r w:rsidRPr="008C25D0">
        <w:rPr>
          <w:sz w:val="22"/>
        </w:rPr>
        <w:t>.</w:t>
      </w:r>
    </w:p>
    <w:p w:rsidR="00365416" w:rsidRPr="008C25D0" w:rsidRDefault="00365416">
      <w:pPr>
        <w:tabs>
          <w:tab w:val="left" w:pos="360"/>
        </w:tabs>
        <w:rPr>
          <w:sz w:val="22"/>
        </w:rPr>
      </w:pPr>
    </w:p>
    <w:p w:rsidR="00365416" w:rsidRPr="008C25D0" w:rsidRDefault="00365416" w:rsidP="002C66A0">
      <w:pPr>
        <w:pStyle w:val="BodyTextIndent"/>
        <w:tabs>
          <w:tab w:val="clear" w:pos="360"/>
          <w:tab w:val="left" w:pos="720"/>
        </w:tabs>
        <w:ind w:left="720"/>
      </w:pPr>
      <w:r w:rsidRPr="008C25D0">
        <w:t>(1)</w:t>
      </w:r>
      <w:r w:rsidRPr="008C25D0">
        <w:tab/>
        <w:t xml:space="preserve">At the end of each calendar year, faculty members with a formal assignment of five-tenths or more will provide the Department Head with an activity report summarizing their professional responsibilities and accomplishments.  Specifically, these activity reports should include documentation of the faculty members' performance in the categories of teaching, research, and service during the evaluation period.  For non-tenure track instructors, evaluations will be based primarily on the teaching category (or other categories specified in the individual's contract). </w:t>
      </w:r>
    </w:p>
    <w:p w:rsidR="00365416" w:rsidRPr="008C25D0" w:rsidRDefault="00365416" w:rsidP="002C66A0">
      <w:pPr>
        <w:pStyle w:val="BodyTextIndent"/>
        <w:tabs>
          <w:tab w:val="clear" w:pos="360"/>
          <w:tab w:val="left" w:pos="720"/>
        </w:tabs>
        <w:ind w:left="720"/>
      </w:pPr>
    </w:p>
    <w:p w:rsidR="003738EB" w:rsidRPr="008C25D0" w:rsidRDefault="00365416" w:rsidP="00E014C2">
      <w:pPr>
        <w:pStyle w:val="BodyTextIndent"/>
        <w:tabs>
          <w:tab w:val="clear" w:pos="360"/>
          <w:tab w:val="left" w:pos="720"/>
        </w:tabs>
        <w:ind w:left="720"/>
        <w:rPr>
          <w:b/>
        </w:rPr>
      </w:pPr>
      <w:r w:rsidRPr="008C25D0">
        <w:tab/>
        <w:t>Faculty members may attach relevant supporting material to the report, including such things as article reprints, acceptance letters, teaching materials and evaluations, professional development activities</w:t>
      </w:r>
      <w:r w:rsidR="00FD20CA">
        <w:t>,</w:t>
      </w:r>
      <w:r w:rsidRPr="008C25D0">
        <w:t xml:space="preserve"> and other documentation of their activities and accomplishments.  Evaluation of research should be based on a moving average concept that considers activities over a three-year period</w:t>
      </w:r>
      <w:r w:rsidRPr="00E63692">
        <w:t>.</w:t>
      </w:r>
      <w:r w:rsidRPr="008C25D0">
        <w:t xml:space="preserve">  (Appendix 1 contains the </w:t>
      </w:r>
      <w:r w:rsidR="003738EB" w:rsidRPr="00E014C2">
        <w:t>required</w:t>
      </w:r>
      <w:r w:rsidRPr="00E014C2">
        <w:t xml:space="preserve"> </w:t>
      </w:r>
      <w:r w:rsidRPr="008C25D0">
        <w:t xml:space="preserve">format, which faculty members </w:t>
      </w:r>
      <w:r w:rsidR="003738EB" w:rsidRPr="00E014C2">
        <w:t>must</w:t>
      </w:r>
      <w:r w:rsidRPr="008C25D0">
        <w:t xml:space="preserve"> follow in preparing</w:t>
      </w:r>
      <w:r w:rsidR="00BD5BE5">
        <w:t xml:space="preserve"> their annual activity reports.</w:t>
      </w:r>
      <w:r w:rsidRPr="008C25D0">
        <w:t xml:space="preserve"> Appendix 2 provides a list of examples of various activities that can be included in this report.</w:t>
      </w:r>
      <w:r w:rsidR="00BD5BE5">
        <w:t xml:space="preserve"> Appendix 3 presents a suggested</w:t>
      </w:r>
      <w:r w:rsidR="00BD5BE5" w:rsidRPr="0064554F">
        <w:t xml:space="preserve"> timetable for this process.</w:t>
      </w:r>
      <w:r w:rsidRPr="008C25D0">
        <w:t>)</w:t>
      </w:r>
    </w:p>
    <w:p w:rsidR="00365416" w:rsidRPr="008C25D0" w:rsidRDefault="00365416">
      <w:pPr>
        <w:tabs>
          <w:tab w:val="left" w:pos="360"/>
        </w:tabs>
        <w:ind w:left="360" w:hanging="360"/>
        <w:rPr>
          <w:sz w:val="22"/>
        </w:rPr>
      </w:pPr>
    </w:p>
    <w:p w:rsidR="00365416" w:rsidRPr="008C25D0" w:rsidRDefault="00365416" w:rsidP="002C66A0">
      <w:pPr>
        <w:tabs>
          <w:tab w:val="left" w:pos="720"/>
        </w:tabs>
        <w:ind w:left="720" w:hanging="360"/>
        <w:rPr>
          <w:sz w:val="22"/>
        </w:rPr>
      </w:pPr>
      <w:r w:rsidRPr="008C25D0">
        <w:rPr>
          <w:sz w:val="22"/>
        </w:rPr>
        <w:t>(2)</w:t>
      </w:r>
      <w:r w:rsidRPr="008C25D0">
        <w:rPr>
          <w:sz w:val="22"/>
        </w:rPr>
        <w:tab/>
        <w:t>As a part of the activity report each faculty member should also identify his</w:t>
      </w:r>
      <w:r w:rsidR="00710043">
        <w:rPr>
          <w:sz w:val="22"/>
        </w:rPr>
        <w:t xml:space="preserve"> or </w:t>
      </w:r>
      <w:r w:rsidRPr="008C25D0">
        <w:rPr>
          <w:sz w:val="22"/>
        </w:rPr>
        <w:t xml:space="preserve">her expected activities and goals for the coming year.  These goals should include the specific weights that the faculty member wishes to assign to each performance area.  The goals are included to be performance targets for </w:t>
      </w:r>
      <w:r w:rsidR="00A11276">
        <w:rPr>
          <w:sz w:val="22"/>
        </w:rPr>
        <w:t xml:space="preserve">the </w:t>
      </w:r>
      <w:r w:rsidRPr="008C25D0">
        <w:rPr>
          <w:sz w:val="22"/>
        </w:rPr>
        <w:t>coming year and should not be confused with performance expectations.  The goal-setting process is designed to provide the Department Head with information about expected activities of the faculty member in the upcoming year.</w:t>
      </w:r>
    </w:p>
    <w:p w:rsidR="00365416" w:rsidRPr="008C25D0" w:rsidRDefault="00365416">
      <w:pPr>
        <w:tabs>
          <w:tab w:val="left" w:pos="360"/>
        </w:tabs>
        <w:ind w:left="360" w:hanging="360"/>
        <w:rPr>
          <w:sz w:val="22"/>
        </w:rPr>
      </w:pPr>
    </w:p>
    <w:p w:rsidR="00365416" w:rsidRPr="008C25D0" w:rsidRDefault="00365416" w:rsidP="002C66A0">
      <w:pPr>
        <w:tabs>
          <w:tab w:val="left" w:pos="720"/>
        </w:tabs>
        <w:ind w:left="720" w:hanging="360"/>
        <w:rPr>
          <w:sz w:val="22"/>
        </w:rPr>
      </w:pPr>
      <w:r w:rsidRPr="008C25D0">
        <w:rPr>
          <w:sz w:val="22"/>
        </w:rPr>
        <w:t>(3)</w:t>
      </w:r>
      <w:r w:rsidRPr="008C25D0">
        <w:rPr>
          <w:sz w:val="22"/>
        </w:rPr>
        <w:tab/>
        <w:t xml:space="preserve">Faculty members shall submit their activity reports to the Department Head by the end of the </w:t>
      </w:r>
      <w:r w:rsidR="004861FB">
        <w:rPr>
          <w:sz w:val="22"/>
        </w:rPr>
        <w:t>first</w:t>
      </w:r>
      <w:r w:rsidR="004861FB" w:rsidRPr="008C25D0">
        <w:rPr>
          <w:sz w:val="22"/>
        </w:rPr>
        <w:t xml:space="preserve"> </w:t>
      </w:r>
      <w:r w:rsidRPr="008C25D0">
        <w:rPr>
          <w:sz w:val="22"/>
        </w:rPr>
        <w:t xml:space="preserve">week of the </w:t>
      </w:r>
      <w:r w:rsidR="00615D3B">
        <w:rPr>
          <w:sz w:val="22"/>
        </w:rPr>
        <w:t>s</w:t>
      </w:r>
      <w:r w:rsidRPr="008C25D0">
        <w:rPr>
          <w:sz w:val="22"/>
        </w:rPr>
        <w:t xml:space="preserve">pring semester.  </w:t>
      </w:r>
    </w:p>
    <w:p w:rsidR="00365416" w:rsidRPr="008C25D0" w:rsidRDefault="00365416" w:rsidP="002C66A0">
      <w:pPr>
        <w:tabs>
          <w:tab w:val="left" w:pos="720"/>
        </w:tabs>
        <w:ind w:left="720" w:hanging="360"/>
        <w:rPr>
          <w:sz w:val="22"/>
        </w:rPr>
      </w:pPr>
    </w:p>
    <w:p w:rsidR="00365416" w:rsidRPr="008C25D0" w:rsidRDefault="00365416" w:rsidP="002C66A0">
      <w:pPr>
        <w:tabs>
          <w:tab w:val="left" w:pos="720"/>
        </w:tabs>
        <w:ind w:left="720" w:hanging="360"/>
        <w:rPr>
          <w:sz w:val="22"/>
        </w:rPr>
      </w:pPr>
      <w:r w:rsidRPr="008C25D0">
        <w:rPr>
          <w:sz w:val="22"/>
        </w:rPr>
        <w:lastRenderedPageBreak/>
        <w:t>(4)</w:t>
      </w:r>
      <w:r w:rsidRPr="008C25D0">
        <w:rPr>
          <w:sz w:val="22"/>
        </w:rPr>
        <w:tab/>
        <w:t xml:space="preserve">The Department Head will prepare a preliminary written evaluation of each faculty member.  The preliminary evaluation will describe the overall performance of the faculty member and will note specific strengths or weaknesses within each category of evaluation.  </w:t>
      </w:r>
    </w:p>
    <w:p w:rsidR="00365416" w:rsidRPr="008C25D0" w:rsidRDefault="00365416">
      <w:pPr>
        <w:tabs>
          <w:tab w:val="left" w:pos="360"/>
        </w:tabs>
        <w:ind w:left="360" w:hanging="360"/>
        <w:rPr>
          <w:sz w:val="22"/>
        </w:rPr>
      </w:pPr>
    </w:p>
    <w:p w:rsidR="00365416" w:rsidRPr="008C25D0" w:rsidRDefault="00365416" w:rsidP="002C66A0">
      <w:pPr>
        <w:pStyle w:val="BodyTextIndent"/>
        <w:tabs>
          <w:tab w:val="clear" w:pos="360"/>
          <w:tab w:val="left" w:pos="720"/>
        </w:tabs>
        <w:ind w:left="720"/>
      </w:pPr>
      <w:r w:rsidRPr="008C25D0">
        <w:t>(5)</w:t>
      </w:r>
      <w:r w:rsidRPr="008C25D0">
        <w:tab/>
        <w:t>The Department Head will schedule a meeting with each faculty member to discuss his</w:t>
      </w:r>
      <w:r w:rsidR="00710043">
        <w:t xml:space="preserve"> or </w:t>
      </w:r>
      <w:r w:rsidRPr="008C25D0">
        <w:t>her evaluation of the individual's performance.  At this meeting, the faculty member will have the opportunity to provide his</w:t>
      </w:r>
      <w:r w:rsidR="00710043">
        <w:t xml:space="preserve"> or </w:t>
      </w:r>
      <w:r w:rsidRPr="008C25D0">
        <w:t>her input regarding the performance appraisal, which may lead to a revision of the written evaluation.  At this meeting, the Department Head should also discuss the faculty member's goals for the upcoming year.  This discussion should focus on how the individual's goals fit within the needs and requirements of the Department, how the goals compare to departmental performance expectations, and what the Department can do to help the faculty member accomplish his</w:t>
      </w:r>
      <w:r w:rsidR="003E6EBA">
        <w:t xml:space="preserve"> or </w:t>
      </w:r>
      <w:r w:rsidRPr="008C25D0">
        <w:t>her goals.</w:t>
      </w:r>
    </w:p>
    <w:p w:rsidR="00365416" w:rsidRPr="008C25D0" w:rsidRDefault="00365416" w:rsidP="002C66A0">
      <w:pPr>
        <w:pStyle w:val="BodyTextIndent"/>
        <w:tabs>
          <w:tab w:val="clear" w:pos="360"/>
          <w:tab w:val="left" w:pos="720"/>
        </w:tabs>
        <w:ind w:left="720"/>
      </w:pPr>
    </w:p>
    <w:p w:rsidR="00365416" w:rsidRPr="008C25D0" w:rsidRDefault="00365416" w:rsidP="002C66A0">
      <w:pPr>
        <w:tabs>
          <w:tab w:val="left" w:pos="720"/>
        </w:tabs>
        <w:ind w:left="720" w:hanging="360"/>
        <w:rPr>
          <w:sz w:val="22"/>
        </w:rPr>
      </w:pPr>
      <w:r w:rsidRPr="008C25D0">
        <w:rPr>
          <w:sz w:val="22"/>
        </w:rPr>
        <w:t>(6)</w:t>
      </w:r>
      <w:r w:rsidRPr="008C25D0">
        <w:rPr>
          <w:sz w:val="22"/>
        </w:rPr>
        <w:tab/>
        <w:t xml:space="preserve">After meeting with the faculty member, the Department Head will write a final evaluation of each individual.  The faculty member and Department Head will each sign the final evaluation, which will then be forwarded to </w:t>
      </w:r>
      <w:r w:rsidR="004847EF">
        <w:rPr>
          <w:sz w:val="22"/>
        </w:rPr>
        <w:t xml:space="preserve">the </w:t>
      </w:r>
      <w:r w:rsidRPr="008C25D0">
        <w:rPr>
          <w:sz w:val="22"/>
        </w:rPr>
        <w:t>Dean as the basis for any merit salary increase.  If the faculty member disagrees with the evaluation he</w:t>
      </w:r>
      <w:r w:rsidR="003E6EBA">
        <w:rPr>
          <w:sz w:val="22"/>
        </w:rPr>
        <w:t xml:space="preserve"> or </w:t>
      </w:r>
      <w:r w:rsidRPr="008C25D0">
        <w:rPr>
          <w:sz w:val="22"/>
        </w:rPr>
        <w:t xml:space="preserve">she receives, the faculty member may request a meeting with the Dean to resolve the disagreement.    </w:t>
      </w:r>
    </w:p>
    <w:p w:rsidR="002C66A0" w:rsidRPr="008C25D0" w:rsidRDefault="002C66A0" w:rsidP="00BD5BE5">
      <w:pPr>
        <w:tabs>
          <w:tab w:val="left" w:pos="360"/>
        </w:tabs>
        <w:spacing w:line="360" w:lineRule="auto"/>
        <w:rPr>
          <w:sz w:val="22"/>
        </w:rPr>
      </w:pPr>
    </w:p>
    <w:p w:rsidR="00365416" w:rsidRPr="002C66A0" w:rsidRDefault="002C66A0">
      <w:pPr>
        <w:tabs>
          <w:tab w:val="left" w:pos="360"/>
        </w:tabs>
        <w:rPr>
          <w:b/>
          <w:sz w:val="24"/>
          <w:szCs w:val="24"/>
        </w:rPr>
      </w:pPr>
      <w:r>
        <w:rPr>
          <w:b/>
          <w:sz w:val="22"/>
        </w:rPr>
        <w:tab/>
      </w:r>
      <w:r w:rsidRPr="002C66A0">
        <w:rPr>
          <w:b/>
          <w:sz w:val="24"/>
          <w:szCs w:val="24"/>
        </w:rPr>
        <w:t>2.</w:t>
      </w:r>
      <w:r w:rsidR="00365416" w:rsidRPr="002C66A0">
        <w:rPr>
          <w:b/>
          <w:sz w:val="24"/>
          <w:szCs w:val="24"/>
        </w:rPr>
        <w:t xml:space="preserve"> Criteria and Standards</w:t>
      </w:r>
    </w:p>
    <w:p w:rsidR="00365416" w:rsidRPr="008C25D0" w:rsidRDefault="00365416">
      <w:pPr>
        <w:tabs>
          <w:tab w:val="left" w:pos="360"/>
        </w:tabs>
        <w:rPr>
          <w:b/>
          <w:sz w:val="22"/>
        </w:rPr>
      </w:pPr>
    </w:p>
    <w:p w:rsidR="00365416" w:rsidRPr="006E24B6" w:rsidRDefault="00365416" w:rsidP="006E24B6">
      <w:pPr>
        <w:tabs>
          <w:tab w:val="left" w:pos="720"/>
        </w:tabs>
        <w:ind w:left="360"/>
        <w:rPr>
          <w:b/>
          <w:sz w:val="22"/>
        </w:rPr>
      </w:pPr>
      <w:r w:rsidRPr="006E24B6">
        <w:rPr>
          <w:b/>
          <w:sz w:val="22"/>
        </w:rPr>
        <w:t>(1) Assignment of Weights to Each Performance Category</w:t>
      </w:r>
    </w:p>
    <w:p w:rsidR="00365416" w:rsidRPr="008C25D0" w:rsidRDefault="00365416">
      <w:pPr>
        <w:tabs>
          <w:tab w:val="left" w:pos="360"/>
        </w:tabs>
        <w:rPr>
          <w:b/>
          <w:sz w:val="22"/>
        </w:rPr>
      </w:pPr>
    </w:p>
    <w:p w:rsidR="00365416" w:rsidRPr="008C25D0" w:rsidRDefault="00365416" w:rsidP="006E24B6">
      <w:pPr>
        <w:pStyle w:val="BodyText"/>
        <w:ind w:left="360"/>
      </w:pPr>
      <w:r w:rsidRPr="008C25D0">
        <w:t xml:space="preserve">In the activity report, each faculty member shall outline goals and assign weights to each performance category for the upcoming year. This process acknowledges that the roles and responsibilities of faculty members in the </w:t>
      </w:r>
      <w:r w:rsidR="00C44BCC">
        <w:rPr>
          <w:lang w:val="en-US"/>
        </w:rPr>
        <w:t>D</w:t>
      </w:r>
      <w:proofErr w:type="spellStart"/>
      <w:r w:rsidRPr="008C25D0">
        <w:t>epartment</w:t>
      </w:r>
      <w:proofErr w:type="spellEnd"/>
      <w:r w:rsidRPr="008C25D0">
        <w:t xml:space="preserve"> may be different, and such differences should be reflected in the evaluation process.  In particular, there may be differences based upon the faculty member's rank.  For example, the typical combinations for tenure-track faculty would likely be different </w:t>
      </w:r>
      <w:r w:rsidR="003E6EBA">
        <w:rPr>
          <w:lang w:val="en-US"/>
        </w:rPr>
        <w:t>from</w:t>
      </w:r>
      <w:r w:rsidR="003E6EBA" w:rsidRPr="008C25D0">
        <w:t xml:space="preserve"> </w:t>
      </w:r>
      <w:r w:rsidRPr="008C25D0">
        <w:t xml:space="preserve">those for tenured associate or full professors.  In general, the weights for tenure-track and tenured professors should fall within the following ranges.  All weights must add up to 100%.  </w:t>
      </w:r>
    </w:p>
    <w:p w:rsidR="00365416" w:rsidRPr="008C25D0" w:rsidRDefault="00365416">
      <w:pPr>
        <w:pStyle w:val="BodyText"/>
      </w:pPr>
    </w:p>
    <w:p w:rsidR="00365416" w:rsidRPr="008C25D0" w:rsidRDefault="00365416">
      <w:pPr>
        <w:pStyle w:val="BodyText"/>
        <w:tabs>
          <w:tab w:val="left" w:pos="4770"/>
          <w:tab w:val="left" w:pos="6570"/>
        </w:tabs>
        <w:rPr>
          <w:b/>
          <w:i/>
        </w:rPr>
      </w:pPr>
      <w:r w:rsidRPr="008C25D0">
        <w:tab/>
      </w:r>
      <w:r w:rsidRPr="008C25D0">
        <w:tab/>
      </w:r>
      <w:r w:rsidRPr="008C25D0">
        <w:rPr>
          <w:b/>
          <w:i/>
        </w:rPr>
        <w:t>Minimum</w:t>
      </w:r>
      <w:r w:rsidRPr="008C25D0">
        <w:rPr>
          <w:b/>
          <w:i/>
        </w:rPr>
        <w:tab/>
        <w:t>Maximum</w:t>
      </w:r>
    </w:p>
    <w:p w:rsidR="00365416" w:rsidRPr="008C25D0" w:rsidRDefault="00365416">
      <w:pPr>
        <w:pStyle w:val="BodyText"/>
        <w:tabs>
          <w:tab w:val="left" w:pos="5040"/>
          <w:tab w:val="left" w:pos="6840"/>
        </w:tabs>
      </w:pPr>
    </w:p>
    <w:p w:rsidR="00365416" w:rsidRPr="008C25D0" w:rsidRDefault="00365416">
      <w:pPr>
        <w:pStyle w:val="BodyText"/>
        <w:tabs>
          <w:tab w:val="left" w:pos="1800"/>
          <w:tab w:val="left" w:pos="5040"/>
          <w:tab w:val="left" w:pos="6840"/>
        </w:tabs>
      </w:pPr>
      <w:r w:rsidRPr="008C25D0">
        <w:tab/>
      </w:r>
      <w:r w:rsidRPr="008C25D0">
        <w:tab/>
      </w:r>
      <w:r w:rsidRPr="008C25D0">
        <w:rPr>
          <w:b/>
          <w:i/>
        </w:rPr>
        <w:t>Teaching</w:t>
      </w:r>
      <w:r w:rsidRPr="008C25D0">
        <w:tab/>
        <w:t>35%</w:t>
      </w:r>
      <w:r w:rsidRPr="008C25D0">
        <w:tab/>
        <w:t>60%</w:t>
      </w:r>
    </w:p>
    <w:p w:rsidR="00365416" w:rsidRPr="008C25D0" w:rsidRDefault="00365416">
      <w:pPr>
        <w:pStyle w:val="BodyText"/>
        <w:tabs>
          <w:tab w:val="left" w:pos="1800"/>
          <w:tab w:val="left" w:pos="5040"/>
          <w:tab w:val="left" w:pos="6840"/>
        </w:tabs>
      </w:pPr>
      <w:r w:rsidRPr="008C25D0">
        <w:tab/>
      </w:r>
      <w:r w:rsidRPr="008C25D0">
        <w:tab/>
      </w:r>
      <w:r w:rsidRPr="008C25D0">
        <w:rPr>
          <w:b/>
          <w:i/>
        </w:rPr>
        <w:t>Research</w:t>
      </w:r>
      <w:r w:rsidRPr="008C25D0">
        <w:tab/>
        <w:t>20%</w:t>
      </w:r>
      <w:r w:rsidRPr="008C25D0">
        <w:tab/>
        <w:t>60%</w:t>
      </w:r>
    </w:p>
    <w:p w:rsidR="00365416" w:rsidRPr="008C25D0" w:rsidRDefault="00365416">
      <w:pPr>
        <w:pStyle w:val="BodyText"/>
        <w:tabs>
          <w:tab w:val="left" w:pos="1800"/>
          <w:tab w:val="left" w:pos="5040"/>
          <w:tab w:val="left" w:pos="6840"/>
        </w:tabs>
      </w:pPr>
      <w:r w:rsidRPr="008C25D0">
        <w:tab/>
      </w:r>
      <w:r w:rsidRPr="008C25D0">
        <w:tab/>
      </w:r>
      <w:r w:rsidRPr="008C25D0">
        <w:rPr>
          <w:b/>
          <w:i/>
        </w:rPr>
        <w:t>Service</w:t>
      </w:r>
      <w:r w:rsidRPr="008C25D0">
        <w:tab/>
        <w:t xml:space="preserve">  5%</w:t>
      </w:r>
      <w:r w:rsidRPr="008C25D0">
        <w:tab/>
      </w:r>
      <w:r w:rsidR="00AB6295" w:rsidRPr="008C25D0">
        <w:t>20</w:t>
      </w:r>
      <w:r w:rsidRPr="008C25D0">
        <w:t>%</w:t>
      </w:r>
    </w:p>
    <w:p w:rsidR="00365416" w:rsidRPr="008C25D0" w:rsidRDefault="00365416">
      <w:pPr>
        <w:pStyle w:val="BodyText"/>
        <w:tabs>
          <w:tab w:val="left" w:pos="1800"/>
          <w:tab w:val="left" w:pos="5040"/>
          <w:tab w:val="left" w:pos="6840"/>
        </w:tabs>
      </w:pPr>
    </w:p>
    <w:p w:rsidR="00365416" w:rsidRDefault="00365416" w:rsidP="00E014C2">
      <w:pPr>
        <w:pStyle w:val="BodyText"/>
        <w:tabs>
          <w:tab w:val="left" w:pos="1800"/>
          <w:tab w:val="left" w:pos="5040"/>
          <w:tab w:val="left" w:pos="6840"/>
        </w:tabs>
      </w:pPr>
      <w:r w:rsidRPr="008C25D0">
        <w:rPr>
          <w:i/>
        </w:rPr>
        <w:tab/>
      </w:r>
      <w:r w:rsidRPr="008C25D0">
        <w:rPr>
          <w:i/>
        </w:rPr>
        <w:tab/>
      </w:r>
    </w:p>
    <w:p w:rsidR="00E014C2" w:rsidRDefault="000300A4" w:rsidP="00766666">
      <w:pPr>
        <w:pStyle w:val="BodyText"/>
        <w:tabs>
          <w:tab w:val="left" w:pos="1800"/>
          <w:tab w:val="left" w:pos="5040"/>
          <w:tab w:val="left" w:pos="6840"/>
        </w:tabs>
        <w:ind w:left="360"/>
        <w:rPr>
          <w:bCs/>
        </w:rPr>
      </w:pPr>
      <w:r w:rsidRPr="00E014C2">
        <w:rPr>
          <w:bCs/>
        </w:rPr>
        <w:t>Notes:</w:t>
      </w:r>
    </w:p>
    <w:p w:rsidR="00E014C2" w:rsidRDefault="00E014C2" w:rsidP="00E014C2">
      <w:pPr>
        <w:pStyle w:val="BodyText"/>
        <w:tabs>
          <w:tab w:val="left" w:pos="1800"/>
          <w:tab w:val="left" w:pos="5040"/>
          <w:tab w:val="left" w:pos="6840"/>
        </w:tabs>
        <w:ind w:left="1440"/>
        <w:rPr>
          <w:bCs/>
        </w:rPr>
      </w:pPr>
    </w:p>
    <w:p w:rsidR="00E014C2" w:rsidRDefault="00E014C2" w:rsidP="00766666">
      <w:pPr>
        <w:pStyle w:val="BodyText"/>
        <w:tabs>
          <w:tab w:val="clear" w:pos="360"/>
          <w:tab w:val="left" w:pos="720"/>
          <w:tab w:val="left" w:pos="5040"/>
          <w:tab w:val="left" w:pos="6840"/>
        </w:tabs>
        <w:ind w:left="360"/>
        <w:rPr>
          <w:bCs/>
        </w:rPr>
      </w:pPr>
      <w:r>
        <w:rPr>
          <w:bCs/>
        </w:rPr>
        <w:tab/>
        <w:t xml:space="preserve">1. </w:t>
      </w:r>
      <w:r w:rsidR="000300A4" w:rsidRPr="00E014C2">
        <w:rPr>
          <w:bCs/>
        </w:rPr>
        <w:t>For untenured faculty, the minimum research percentage is 40%.</w:t>
      </w:r>
    </w:p>
    <w:p w:rsidR="00E014C2" w:rsidRDefault="00E014C2" w:rsidP="00766666">
      <w:pPr>
        <w:pStyle w:val="BodyText"/>
        <w:tabs>
          <w:tab w:val="clear" w:pos="360"/>
          <w:tab w:val="left" w:pos="720"/>
          <w:tab w:val="left" w:pos="5040"/>
          <w:tab w:val="left" w:pos="6840"/>
        </w:tabs>
        <w:ind w:left="360"/>
        <w:rPr>
          <w:bCs/>
        </w:rPr>
      </w:pPr>
    </w:p>
    <w:p w:rsidR="00E014C2" w:rsidRDefault="00E014C2" w:rsidP="00766666">
      <w:pPr>
        <w:pStyle w:val="BodyText"/>
        <w:tabs>
          <w:tab w:val="clear" w:pos="360"/>
          <w:tab w:val="left" w:pos="720"/>
          <w:tab w:val="left" w:pos="5040"/>
          <w:tab w:val="left" w:pos="6840"/>
        </w:tabs>
        <w:ind w:left="360"/>
        <w:rPr>
          <w:bCs/>
        </w:rPr>
      </w:pPr>
      <w:r>
        <w:rPr>
          <w:bCs/>
        </w:rPr>
        <w:tab/>
        <w:t xml:space="preserve">2. </w:t>
      </w:r>
      <w:r w:rsidR="009351A3" w:rsidRPr="00E014C2">
        <w:rPr>
          <w:bCs/>
        </w:rPr>
        <w:t>For tenured faculty, the minimum service percentage is</w:t>
      </w:r>
      <w:r w:rsidR="004847EF">
        <w:rPr>
          <w:bCs/>
        </w:rPr>
        <w:t xml:space="preserve"> </w:t>
      </w:r>
      <w:r w:rsidR="009351A3" w:rsidRPr="00E014C2">
        <w:rPr>
          <w:bCs/>
        </w:rPr>
        <w:t>10%.</w:t>
      </w:r>
    </w:p>
    <w:p w:rsidR="00E014C2" w:rsidRDefault="00E014C2" w:rsidP="00766666">
      <w:pPr>
        <w:pStyle w:val="BodyText"/>
        <w:tabs>
          <w:tab w:val="clear" w:pos="360"/>
          <w:tab w:val="left" w:pos="720"/>
          <w:tab w:val="left" w:pos="5040"/>
          <w:tab w:val="left" w:pos="6840"/>
        </w:tabs>
        <w:ind w:left="360"/>
        <w:rPr>
          <w:bCs/>
        </w:rPr>
      </w:pPr>
    </w:p>
    <w:p w:rsidR="00E014C2" w:rsidRDefault="00E014C2" w:rsidP="00766666">
      <w:pPr>
        <w:pStyle w:val="BodyText"/>
        <w:tabs>
          <w:tab w:val="clear" w:pos="360"/>
          <w:tab w:val="left" w:pos="720"/>
          <w:tab w:val="left" w:pos="5040"/>
          <w:tab w:val="left" w:pos="6840"/>
        </w:tabs>
        <w:ind w:left="990" w:hanging="630"/>
        <w:rPr>
          <w:bCs/>
        </w:rPr>
      </w:pPr>
      <w:r>
        <w:rPr>
          <w:bCs/>
        </w:rPr>
        <w:tab/>
        <w:t xml:space="preserve">3. </w:t>
      </w:r>
      <w:r w:rsidR="000300A4" w:rsidRPr="00E014C2">
        <w:rPr>
          <w:bCs/>
        </w:rPr>
        <w:t>For faculty teaching a nonstandard load (</w:t>
      </w:r>
      <w:r w:rsidRPr="00E014C2">
        <w:rPr>
          <w:bCs/>
        </w:rPr>
        <w:t xml:space="preserve">other than </w:t>
      </w:r>
      <w:r w:rsidR="000300A4" w:rsidRPr="00E014C2">
        <w:rPr>
          <w:bCs/>
        </w:rPr>
        <w:t>2-2 for tenured and tenure-track faculty), the teaching percentage is 10</w:t>
      </w:r>
      <w:r w:rsidR="00D11DAD" w:rsidRPr="00E014C2">
        <w:rPr>
          <w:bCs/>
        </w:rPr>
        <w:t xml:space="preserve">-15% </w:t>
      </w:r>
      <w:r w:rsidR="000300A4" w:rsidRPr="00E014C2">
        <w:rPr>
          <w:bCs/>
        </w:rPr>
        <w:t>per course (e.g., 20</w:t>
      </w:r>
      <w:r w:rsidR="00D11DAD" w:rsidRPr="00E014C2">
        <w:rPr>
          <w:bCs/>
        </w:rPr>
        <w:t>-30%</w:t>
      </w:r>
      <w:r w:rsidR="000300A4" w:rsidRPr="00E014C2">
        <w:rPr>
          <w:bCs/>
        </w:rPr>
        <w:t xml:space="preserve"> for someone teaching a two-course </w:t>
      </w:r>
      <w:r w:rsidR="004847EF">
        <w:rPr>
          <w:bCs/>
        </w:rPr>
        <w:t xml:space="preserve">per </w:t>
      </w:r>
      <w:r w:rsidR="000300A4" w:rsidRPr="00E014C2">
        <w:rPr>
          <w:bCs/>
        </w:rPr>
        <w:t xml:space="preserve">year load).  In such instances, there will be a corresponding increase in the research and/or service percentage, which may raise those numbers beyond the noted maximums.  For faculty where the agreed percentage in a given category exceeds the noted maximums, a higher level of performance is expected for that category.  In such instances, the goals </w:t>
      </w:r>
      <w:r w:rsidR="000300A4" w:rsidRPr="00E014C2">
        <w:rPr>
          <w:bCs/>
        </w:rPr>
        <w:lastRenderedPageBreak/>
        <w:t xml:space="preserve">established early in the year will be an important vehicle for reaching an agreement with the </w:t>
      </w:r>
      <w:r w:rsidR="00C44BCC">
        <w:rPr>
          <w:bCs/>
          <w:lang w:val="en-US"/>
        </w:rPr>
        <w:t>D</w:t>
      </w:r>
      <w:proofErr w:type="spellStart"/>
      <w:r w:rsidR="000300A4" w:rsidRPr="00E014C2">
        <w:rPr>
          <w:bCs/>
        </w:rPr>
        <w:t>epartment</w:t>
      </w:r>
      <w:proofErr w:type="spellEnd"/>
      <w:r w:rsidR="000300A4" w:rsidRPr="00E014C2">
        <w:rPr>
          <w:bCs/>
        </w:rPr>
        <w:t xml:space="preserve"> </w:t>
      </w:r>
      <w:r w:rsidR="00C44BCC">
        <w:rPr>
          <w:bCs/>
          <w:lang w:val="en-US"/>
        </w:rPr>
        <w:t>H</w:t>
      </w:r>
      <w:proofErr w:type="spellStart"/>
      <w:r w:rsidR="000300A4" w:rsidRPr="00E014C2">
        <w:rPr>
          <w:bCs/>
        </w:rPr>
        <w:t>ead</w:t>
      </w:r>
      <w:proofErr w:type="spellEnd"/>
      <w:r w:rsidR="000300A4" w:rsidRPr="00E014C2">
        <w:rPr>
          <w:bCs/>
        </w:rPr>
        <w:t xml:space="preserve"> on how standards</w:t>
      </w:r>
      <w:r w:rsidR="0013560F">
        <w:rPr>
          <w:bCs/>
          <w:lang w:val="en-US"/>
        </w:rPr>
        <w:t xml:space="preserve"> (percentages)</w:t>
      </w:r>
      <w:r w:rsidR="000300A4" w:rsidRPr="00E014C2">
        <w:rPr>
          <w:bCs/>
        </w:rPr>
        <w:t xml:space="preserve"> will be adjusted for these unique cases.</w:t>
      </w:r>
    </w:p>
    <w:p w:rsidR="00E014C2" w:rsidRDefault="00E014C2" w:rsidP="00766666">
      <w:pPr>
        <w:pStyle w:val="BodyText"/>
        <w:tabs>
          <w:tab w:val="clear" w:pos="360"/>
          <w:tab w:val="left" w:pos="720"/>
          <w:tab w:val="left" w:pos="5040"/>
          <w:tab w:val="left" w:pos="6840"/>
        </w:tabs>
        <w:ind w:left="360"/>
        <w:rPr>
          <w:bCs/>
        </w:rPr>
      </w:pPr>
    </w:p>
    <w:p w:rsidR="000300A4" w:rsidRPr="00E014C2" w:rsidRDefault="00E014C2" w:rsidP="00766666">
      <w:pPr>
        <w:pStyle w:val="BodyText"/>
        <w:tabs>
          <w:tab w:val="clear" w:pos="360"/>
          <w:tab w:val="left" w:pos="720"/>
          <w:tab w:val="left" w:pos="5040"/>
          <w:tab w:val="left" w:pos="6840"/>
        </w:tabs>
        <w:ind w:left="990" w:hanging="630"/>
        <w:rPr>
          <w:bCs/>
        </w:rPr>
      </w:pPr>
      <w:r>
        <w:rPr>
          <w:bCs/>
        </w:rPr>
        <w:tab/>
        <w:t xml:space="preserve">4. </w:t>
      </w:r>
      <w:r w:rsidR="000300A4" w:rsidRPr="00E014C2">
        <w:rPr>
          <w:bCs/>
        </w:rPr>
        <w:t xml:space="preserve">These percentages are formally established </w:t>
      </w:r>
      <w:r w:rsidR="009351A3" w:rsidRPr="00E014C2">
        <w:rPr>
          <w:bCs/>
        </w:rPr>
        <w:t>during the annual evaluation process</w:t>
      </w:r>
      <w:r w:rsidR="000300A4" w:rsidRPr="00E014C2">
        <w:rPr>
          <w:bCs/>
        </w:rPr>
        <w:t xml:space="preserve">.  </w:t>
      </w:r>
      <w:r w:rsidR="0059434B" w:rsidRPr="00E014C2">
        <w:rPr>
          <w:bCs/>
        </w:rPr>
        <w:t>If</w:t>
      </w:r>
      <w:r w:rsidR="000300A4" w:rsidRPr="00E014C2">
        <w:rPr>
          <w:bCs/>
        </w:rPr>
        <w:t xml:space="preserve"> circums</w:t>
      </w:r>
      <w:r w:rsidR="0059434B" w:rsidRPr="00E014C2">
        <w:rPr>
          <w:bCs/>
        </w:rPr>
        <w:t>tances change later in the year (e.g. significant unforeseen service, course development, etc.)</w:t>
      </w:r>
      <w:r w:rsidR="000300A4" w:rsidRPr="00E014C2">
        <w:rPr>
          <w:bCs/>
        </w:rPr>
        <w:t xml:space="preserve">, then it is necessary for the faculty member to communicate these changed circumstances to the </w:t>
      </w:r>
      <w:r w:rsidR="00C44BCC">
        <w:rPr>
          <w:bCs/>
          <w:lang w:val="en-US"/>
        </w:rPr>
        <w:t>D</w:t>
      </w:r>
      <w:proofErr w:type="spellStart"/>
      <w:r w:rsidR="000300A4" w:rsidRPr="00E014C2">
        <w:rPr>
          <w:bCs/>
        </w:rPr>
        <w:t>epartment</w:t>
      </w:r>
      <w:proofErr w:type="spellEnd"/>
      <w:r w:rsidR="000300A4" w:rsidRPr="00E014C2">
        <w:rPr>
          <w:bCs/>
        </w:rPr>
        <w:t xml:space="preserve"> </w:t>
      </w:r>
      <w:r w:rsidR="00C44BCC">
        <w:rPr>
          <w:bCs/>
          <w:lang w:val="en-US"/>
        </w:rPr>
        <w:t>H</w:t>
      </w:r>
      <w:proofErr w:type="spellStart"/>
      <w:r w:rsidR="000300A4" w:rsidRPr="00E014C2">
        <w:rPr>
          <w:bCs/>
        </w:rPr>
        <w:t>ead</w:t>
      </w:r>
      <w:proofErr w:type="spellEnd"/>
      <w:r w:rsidR="000300A4" w:rsidRPr="00E014C2">
        <w:rPr>
          <w:bCs/>
        </w:rPr>
        <w:t xml:space="preserve">. If the </w:t>
      </w:r>
      <w:r w:rsidR="00C44BCC">
        <w:rPr>
          <w:bCs/>
          <w:lang w:val="en-US"/>
        </w:rPr>
        <w:t>D</w:t>
      </w:r>
      <w:proofErr w:type="spellStart"/>
      <w:r w:rsidR="000300A4" w:rsidRPr="00E014C2">
        <w:rPr>
          <w:bCs/>
        </w:rPr>
        <w:t>epartment</w:t>
      </w:r>
      <w:proofErr w:type="spellEnd"/>
      <w:r w:rsidR="000300A4" w:rsidRPr="00E014C2">
        <w:rPr>
          <w:bCs/>
        </w:rPr>
        <w:t xml:space="preserve"> </w:t>
      </w:r>
      <w:r w:rsidR="00C44BCC">
        <w:rPr>
          <w:bCs/>
          <w:lang w:val="en-US"/>
        </w:rPr>
        <w:t>H</w:t>
      </w:r>
      <w:proofErr w:type="spellStart"/>
      <w:r w:rsidR="000300A4" w:rsidRPr="00E014C2">
        <w:rPr>
          <w:bCs/>
        </w:rPr>
        <w:t>ead</w:t>
      </w:r>
      <w:proofErr w:type="spellEnd"/>
      <w:r w:rsidR="000300A4" w:rsidRPr="00E014C2">
        <w:rPr>
          <w:bCs/>
        </w:rPr>
        <w:t xml:space="preserve"> agrees, then the initial percentages may be adjusted by mutual agreement </w:t>
      </w:r>
      <w:r w:rsidR="0059434B" w:rsidRPr="00E014C2">
        <w:rPr>
          <w:bCs/>
        </w:rPr>
        <w:t>at the time the</w:t>
      </w:r>
      <w:r>
        <w:rPr>
          <w:bCs/>
        </w:rPr>
        <w:tab/>
      </w:r>
      <w:r w:rsidR="0059434B" w:rsidRPr="00E014C2">
        <w:rPr>
          <w:bCs/>
        </w:rPr>
        <w:t>opportunity arises</w:t>
      </w:r>
      <w:r w:rsidR="000300A4" w:rsidRPr="00E014C2">
        <w:rPr>
          <w:bCs/>
        </w:rPr>
        <w:t>.  For faculty on a standard teaching load, the minimums and maximums noted above still apply.</w:t>
      </w:r>
    </w:p>
    <w:p w:rsidR="000300A4" w:rsidRPr="00E014C2" w:rsidRDefault="000300A4">
      <w:pPr>
        <w:tabs>
          <w:tab w:val="left" w:pos="360"/>
        </w:tabs>
        <w:rPr>
          <w:sz w:val="22"/>
        </w:rPr>
      </w:pPr>
    </w:p>
    <w:p w:rsidR="00365416" w:rsidRDefault="00AB6295" w:rsidP="006E24B6">
      <w:pPr>
        <w:tabs>
          <w:tab w:val="left" w:pos="360"/>
        </w:tabs>
        <w:ind w:left="360"/>
        <w:rPr>
          <w:sz w:val="22"/>
        </w:rPr>
      </w:pPr>
      <w:r w:rsidRPr="008C25D0">
        <w:rPr>
          <w:sz w:val="22"/>
        </w:rPr>
        <w:t>It is understood that the primary activity of non-tenure track instructors is teaching.  As such, t</w:t>
      </w:r>
      <w:r w:rsidR="00365416" w:rsidRPr="008C25D0">
        <w:rPr>
          <w:sz w:val="22"/>
        </w:rPr>
        <w:t>he weights for each full-time instructor should be negotiated with the Department Head.  In addition, the Department Head should acknowledge instructors’ performance of service or research activities.  Specifically, for meritorious contributions in service or research, the Department Head has the discretion to increase the performance appraisal of the instructor.</w:t>
      </w:r>
    </w:p>
    <w:p w:rsidR="00EA2448" w:rsidRDefault="00EA2448" w:rsidP="006E24B6">
      <w:pPr>
        <w:tabs>
          <w:tab w:val="left" w:pos="360"/>
        </w:tabs>
        <w:ind w:left="360"/>
        <w:rPr>
          <w:sz w:val="22"/>
        </w:rPr>
      </w:pPr>
    </w:p>
    <w:p w:rsidR="00EA2448" w:rsidRPr="00E014C2" w:rsidRDefault="00EA2448" w:rsidP="006E24B6">
      <w:pPr>
        <w:tabs>
          <w:tab w:val="left" w:pos="360"/>
        </w:tabs>
        <w:ind w:left="360"/>
        <w:rPr>
          <w:sz w:val="22"/>
        </w:rPr>
      </w:pPr>
      <w:r w:rsidRPr="00E014C2">
        <w:rPr>
          <w:sz w:val="22"/>
        </w:rPr>
        <w:t>Professionally qualified faculty</w:t>
      </w:r>
      <w:r w:rsidR="002A59A0">
        <w:rPr>
          <w:sz w:val="22"/>
        </w:rPr>
        <w:t>, according to AACSB,</w:t>
      </w:r>
      <w:r w:rsidRPr="00E014C2">
        <w:rPr>
          <w:sz w:val="22"/>
        </w:rPr>
        <w:t xml:space="preserve"> will also have to average 20 hours of professional development per year in order to maintain their professional qualifications.  Descriptions of the activities associated with these hours and related requirements are listed in the College’s Standards for Faculty Classification for AACSB Accreditation Purposes document.</w:t>
      </w:r>
    </w:p>
    <w:p w:rsidR="000300A4" w:rsidRDefault="000300A4" w:rsidP="006E24B6">
      <w:pPr>
        <w:tabs>
          <w:tab w:val="left" w:pos="360"/>
        </w:tabs>
        <w:ind w:left="360"/>
        <w:rPr>
          <w:sz w:val="22"/>
        </w:rPr>
      </w:pPr>
    </w:p>
    <w:p w:rsidR="00365416" w:rsidRPr="006E24B6" w:rsidRDefault="00365416" w:rsidP="006E24B6">
      <w:pPr>
        <w:tabs>
          <w:tab w:val="left" w:pos="360"/>
        </w:tabs>
        <w:ind w:left="360"/>
        <w:rPr>
          <w:b/>
          <w:sz w:val="22"/>
        </w:rPr>
      </w:pPr>
      <w:r w:rsidRPr="006E24B6">
        <w:rPr>
          <w:b/>
          <w:sz w:val="22"/>
        </w:rPr>
        <w:t xml:space="preserve">(2) Numerical Rating Scale </w:t>
      </w:r>
      <w:r w:rsidR="00947BD3">
        <w:rPr>
          <w:b/>
          <w:sz w:val="22"/>
        </w:rPr>
        <w:t>and</w:t>
      </w:r>
      <w:r w:rsidR="00947BD3" w:rsidRPr="006E24B6">
        <w:rPr>
          <w:b/>
          <w:sz w:val="22"/>
        </w:rPr>
        <w:t xml:space="preserve"> </w:t>
      </w:r>
      <w:r w:rsidRPr="006E24B6">
        <w:rPr>
          <w:b/>
          <w:sz w:val="22"/>
        </w:rPr>
        <w:t>Merit Salary Adjustments</w:t>
      </w:r>
    </w:p>
    <w:p w:rsidR="00365416" w:rsidRPr="008C25D0" w:rsidRDefault="00365416">
      <w:pPr>
        <w:tabs>
          <w:tab w:val="left" w:pos="360"/>
        </w:tabs>
        <w:rPr>
          <w:sz w:val="22"/>
        </w:rPr>
      </w:pPr>
    </w:p>
    <w:p w:rsidR="00365416" w:rsidRPr="008C25D0" w:rsidRDefault="005C1F28" w:rsidP="006E24B6">
      <w:pPr>
        <w:pStyle w:val="BodyText"/>
        <w:ind w:left="360"/>
      </w:pPr>
      <w:r w:rsidRPr="008C25D0">
        <w:t>The D</w:t>
      </w:r>
      <w:r w:rsidR="00365416" w:rsidRPr="008C25D0">
        <w:t>epartment will use a numerical scale for assessing performance within the categories of teaching, research</w:t>
      </w:r>
      <w:r w:rsidR="00A11276">
        <w:rPr>
          <w:lang w:val="en-US"/>
        </w:rPr>
        <w:t>,</w:t>
      </w:r>
      <w:r w:rsidR="00365416" w:rsidRPr="008C25D0">
        <w:t xml:space="preserve"> and service.  In each category, the faculty member will be evaluated on a 0 to 4 scale.  The numerical value assigned will indicate the following general levels of performance:</w:t>
      </w:r>
    </w:p>
    <w:p w:rsidR="00365416" w:rsidRPr="008C25D0" w:rsidRDefault="00365416">
      <w:pPr>
        <w:pStyle w:val="BodyText"/>
      </w:pPr>
    </w:p>
    <w:p w:rsidR="00365416" w:rsidRPr="008C25D0" w:rsidRDefault="00365416">
      <w:pPr>
        <w:pStyle w:val="BodyText"/>
        <w:tabs>
          <w:tab w:val="clear" w:pos="360"/>
          <w:tab w:val="left" w:pos="1800"/>
          <w:tab w:val="left" w:pos="2340"/>
        </w:tabs>
      </w:pPr>
      <w:r w:rsidRPr="008C25D0">
        <w:tab/>
        <w:t xml:space="preserve">4 = </w:t>
      </w:r>
      <w:r w:rsidRPr="008C25D0">
        <w:tab/>
        <w:t xml:space="preserve">Significantly exceeds expectations </w:t>
      </w:r>
    </w:p>
    <w:p w:rsidR="00365416" w:rsidRPr="008C25D0" w:rsidRDefault="00365416">
      <w:pPr>
        <w:pStyle w:val="BodyText"/>
        <w:tabs>
          <w:tab w:val="clear" w:pos="360"/>
          <w:tab w:val="left" w:pos="1800"/>
          <w:tab w:val="left" w:pos="2340"/>
        </w:tabs>
      </w:pPr>
      <w:r w:rsidRPr="008C25D0">
        <w:tab/>
        <w:t>3 =</w:t>
      </w:r>
      <w:r w:rsidRPr="008C25D0">
        <w:tab/>
        <w:t>Exceeds expectations</w:t>
      </w:r>
    </w:p>
    <w:p w:rsidR="00365416" w:rsidRPr="008C25D0" w:rsidRDefault="00365416">
      <w:pPr>
        <w:pStyle w:val="BodyText"/>
        <w:tabs>
          <w:tab w:val="clear" w:pos="360"/>
          <w:tab w:val="left" w:pos="1800"/>
          <w:tab w:val="left" w:pos="2340"/>
        </w:tabs>
      </w:pPr>
      <w:r w:rsidRPr="008C25D0">
        <w:tab/>
        <w:t>2 =</w:t>
      </w:r>
      <w:r w:rsidRPr="008C25D0">
        <w:tab/>
        <w:t>Meets expectations</w:t>
      </w:r>
    </w:p>
    <w:p w:rsidR="00365416" w:rsidRPr="008C25D0" w:rsidRDefault="00365416">
      <w:pPr>
        <w:pStyle w:val="BodyText"/>
        <w:tabs>
          <w:tab w:val="clear" w:pos="360"/>
          <w:tab w:val="left" w:pos="1800"/>
          <w:tab w:val="left" w:pos="2340"/>
        </w:tabs>
      </w:pPr>
      <w:r w:rsidRPr="008C25D0">
        <w:tab/>
        <w:t>1 =</w:t>
      </w:r>
      <w:r w:rsidRPr="008C25D0">
        <w:tab/>
        <w:t>Fails to meet expectations (i.e., needs improvement)</w:t>
      </w:r>
    </w:p>
    <w:p w:rsidR="00365416" w:rsidRPr="008C25D0" w:rsidRDefault="00365416">
      <w:pPr>
        <w:pStyle w:val="BodyText"/>
        <w:tabs>
          <w:tab w:val="clear" w:pos="360"/>
          <w:tab w:val="left" w:pos="1800"/>
          <w:tab w:val="left" w:pos="2340"/>
        </w:tabs>
      </w:pPr>
      <w:r w:rsidRPr="008C25D0">
        <w:tab/>
        <w:t>0 =</w:t>
      </w:r>
      <w:r w:rsidRPr="008C25D0">
        <w:tab/>
        <w:t>Fails to meet expectations by a significant degree (i.e., unsatisfactory)</w:t>
      </w:r>
    </w:p>
    <w:p w:rsidR="00365416" w:rsidRPr="008C25D0" w:rsidRDefault="00365416">
      <w:pPr>
        <w:pStyle w:val="BodyText"/>
        <w:tabs>
          <w:tab w:val="clear" w:pos="360"/>
          <w:tab w:val="left" w:pos="1800"/>
          <w:tab w:val="left" w:pos="2520"/>
        </w:tabs>
      </w:pPr>
    </w:p>
    <w:p w:rsidR="00365416" w:rsidRPr="008C25D0" w:rsidRDefault="00365416" w:rsidP="006E24B6">
      <w:pPr>
        <w:pStyle w:val="BodyText"/>
        <w:tabs>
          <w:tab w:val="clear" w:pos="360"/>
          <w:tab w:val="left" w:pos="1800"/>
          <w:tab w:val="left" w:pos="2520"/>
        </w:tabs>
        <w:ind w:left="360"/>
      </w:pPr>
      <w:r w:rsidRPr="008C25D0">
        <w:t xml:space="preserve">Performance "expectations" are independent of individual faculty member's goals.  "Expectations" should be left to the discretion of the Department Head.  It is the responsibility of the Department Head to clarify expectations in each performance category when discussing goals with faculty.  </w:t>
      </w:r>
    </w:p>
    <w:p w:rsidR="00365416" w:rsidRPr="008C25D0" w:rsidRDefault="00365416" w:rsidP="006E24B6">
      <w:pPr>
        <w:pStyle w:val="BodyText"/>
        <w:tabs>
          <w:tab w:val="clear" w:pos="360"/>
          <w:tab w:val="left" w:pos="1800"/>
          <w:tab w:val="left" w:pos="2520"/>
        </w:tabs>
        <w:ind w:left="360"/>
      </w:pPr>
    </w:p>
    <w:p w:rsidR="00365416" w:rsidRPr="008C25D0" w:rsidRDefault="00365416" w:rsidP="006E24B6">
      <w:pPr>
        <w:pStyle w:val="BodyText"/>
        <w:tabs>
          <w:tab w:val="clear" w:pos="360"/>
          <w:tab w:val="left" w:pos="1800"/>
          <w:tab w:val="left" w:pos="2520"/>
        </w:tabs>
        <w:ind w:left="360"/>
      </w:pPr>
      <w:r w:rsidRPr="008C25D0">
        <w:t>The following table may be used for summary purposes:</w:t>
      </w:r>
    </w:p>
    <w:p w:rsidR="00365416" w:rsidRPr="008C25D0" w:rsidRDefault="00365416" w:rsidP="0089398B">
      <w:pPr>
        <w:pStyle w:val="BodyText"/>
        <w:tabs>
          <w:tab w:val="clear" w:pos="360"/>
          <w:tab w:val="left" w:pos="1800"/>
          <w:tab w:val="left" w:pos="2520"/>
        </w:tabs>
        <w:ind w:left="3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94"/>
        <w:gridCol w:w="2394"/>
        <w:gridCol w:w="2394"/>
        <w:gridCol w:w="2394"/>
      </w:tblGrid>
      <w:tr w:rsidR="00365416" w:rsidRPr="008C25D0">
        <w:trPr>
          <w:trHeight w:val="318"/>
        </w:trPr>
        <w:tc>
          <w:tcPr>
            <w:tcW w:w="2394" w:type="dxa"/>
          </w:tcPr>
          <w:p w:rsidR="00365416" w:rsidRPr="00387A20" w:rsidRDefault="00365416">
            <w:pPr>
              <w:pStyle w:val="BodyText"/>
              <w:tabs>
                <w:tab w:val="clear" w:pos="360"/>
                <w:tab w:val="left" w:pos="1800"/>
                <w:tab w:val="left" w:pos="2520"/>
              </w:tabs>
              <w:rPr>
                <w:lang w:val="en-US" w:eastAsia="en-US"/>
              </w:rPr>
            </w:pPr>
          </w:p>
        </w:tc>
        <w:tc>
          <w:tcPr>
            <w:tcW w:w="2394" w:type="dxa"/>
          </w:tcPr>
          <w:p w:rsidR="00365416" w:rsidRPr="00387A20" w:rsidRDefault="00365416">
            <w:pPr>
              <w:pStyle w:val="BodyText"/>
              <w:tabs>
                <w:tab w:val="clear" w:pos="360"/>
                <w:tab w:val="left" w:pos="1800"/>
                <w:tab w:val="left" w:pos="2520"/>
              </w:tabs>
              <w:jc w:val="center"/>
              <w:rPr>
                <w:b/>
                <w:lang w:val="en-US" w:eastAsia="en-US"/>
              </w:rPr>
            </w:pPr>
            <w:r w:rsidRPr="00387A20">
              <w:rPr>
                <w:b/>
                <w:lang w:val="en-US" w:eastAsia="en-US"/>
              </w:rPr>
              <w:t>Rating</w:t>
            </w:r>
          </w:p>
        </w:tc>
        <w:tc>
          <w:tcPr>
            <w:tcW w:w="2394" w:type="dxa"/>
          </w:tcPr>
          <w:p w:rsidR="00365416" w:rsidRPr="00387A20" w:rsidRDefault="00365416">
            <w:pPr>
              <w:pStyle w:val="BodyText"/>
              <w:tabs>
                <w:tab w:val="clear" w:pos="360"/>
                <w:tab w:val="left" w:pos="1800"/>
                <w:tab w:val="left" w:pos="2520"/>
              </w:tabs>
              <w:jc w:val="center"/>
              <w:rPr>
                <w:b/>
                <w:lang w:val="en-US" w:eastAsia="en-US"/>
              </w:rPr>
            </w:pPr>
            <w:r w:rsidRPr="00387A20">
              <w:rPr>
                <w:b/>
                <w:lang w:val="en-US" w:eastAsia="en-US"/>
              </w:rPr>
              <w:t>Weight</w:t>
            </w:r>
          </w:p>
        </w:tc>
        <w:tc>
          <w:tcPr>
            <w:tcW w:w="2394" w:type="dxa"/>
          </w:tcPr>
          <w:p w:rsidR="00365416" w:rsidRPr="00387A20" w:rsidRDefault="00365416" w:rsidP="00244EC1">
            <w:pPr>
              <w:pStyle w:val="BodyText"/>
              <w:tabs>
                <w:tab w:val="clear" w:pos="360"/>
                <w:tab w:val="left" w:pos="1800"/>
                <w:tab w:val="left" w:pos="2520"/>
              </w:tabs>
              <w:jc w:val="center"/>
              <w:rPr>
                <w:b/>
                <w:lang w:val="en-US" w:eastAsia="en-US"/>
              </w:rPr>
            </w:pPr>
            <w:r w:rsidRPr="00387A20">
              <w:rPr>
                <w:b/>
                <w:lang w:val="en-US" w:eastAsia="en-US"/>
              </w:rPr>
              <w:t xml:space="preserve">Rating </w:t>
            </w:r>
            <w:r w:rsidR="00244EC1">
              <w:rPr>
                <w:b/>
                <w:lang w:val="en-US" w:eastAsia="en-US"/>
              </w:rPr>
              <w:t>×</w:t>
            </w:r>
            <w:r w:rsidRPr="00387A20">
              <w:rPr>
                <w:b/>
                <w:lang w:val="en-US" w:eastAsia="en-US"/>
              </w:rPr>
              <w:t xml:space="preserve"> Weight</w:t>
            </w:r>
          </w:p>
        </w:tc>
      </w:tr>
      <w:tr w:rsidR="00365416" w:rsidRPr="008C25D0">
        <w:tc>
          <w:tcPr>
            <w:tcW w:w="2394" w:type="dxa"/>
          </w:tcPr>
          <w:p w:rsidR="00365416" w:rsidRPr="00387A20" w:rsidRDefault="00365416">
            <w:pPr>
              <w:pStyle w:val="BodyText"/>
              <w:tabs>
                <w:tab w:val="clear" w:pos="360"/>
                <w:tab w:val="left" w:pos="1800"/>
                <w:tab w:val="left" w:pos="2520"/>
              </w:tabs>
              <w:jc w:val="center"/>
              <w:rPr>
                <w:b/>
                <w:lang w:val="en-US" w:eastAsia="en-US"/>
              </w:rPr>
            </w:pPr>
            <w:r w:rsidRPr="00387A20">
              <w:rPr>
                <w:b/>
                <w:lang w:val="en-US" w:eastAsia="en-US"/>
              </w:rPr>
              <w:t>Teaching</w:t>
            </w:r>
          </w:p>
        </w:tc>
        <w:tc>
          <w:tcPr>
            <w:tcW w:w="2394" w:type="dxa"/>
          </w:tcPr>
          <w:p w:rsidR="00365416" w:rsidRPr="00387A20" w:rsidRDefault="00365416">
            <w:pPr>
              <w:pStyle w:val="BodyText"/>
              <w:tabs>
                <w:tab w:val="clear" w:pos="360"/>
                <w:tab w:val="left" w:pos="1800"/>
                <w:tab w:val="left" w:pos="2520"/>
              </w:tabs>
              <w:rPr>
                <w:lang w:val="en-US" w:eastAsia="en-US"/>
              </w:rPr>
            </w:pPr>
          </w:p>
        </w:tc>
        <w:tc>
          <w:tcPr>
            <w:tcW w:w="2394" w:type="dxa"/>
          </w:tcPr>
          <w:p w:rsidR="00365416" w:rsidRPr="00387A20" w:rsidRDefault="00365416">
            <w:pPr>
              <w:pStyle w:val="BodyText"/>
              <w:tabs>
                <w:tab w:val="clear" w:pos="360"/>
                <w:tab w:val="left" w:pos="1800"/>
                <w:tab w:val="left" w:pos="2520"/>
              </w:tabs>
              <w:rPr>
                <w:lang w:val="en-US" w:eastAsia="en-US"/>
              </w:rPr>
            </w:pPr>
          </w:p>
        </w:tc>
        <w:tc>
          <w:tcPr>
            <w:tcW w:w="2394" w:type="dxa"/>
          </w:tcPr>
          <w:p w:rsidR="00365416" w:rsidRPr="00387A20" w:rsidRDefault="00365416">
            <w:pPr>
              <w:pStyle w:val="BodyText"/>
              <w:tabs>
                <w:tab w:val="clear" w:pos="360"/>
                <w:tab w:val="left" w:pos="1800"/>
                <w:tab w:val="left" w:pos="2520"/>
              </w:tabs>
              <w:rPr>
                <w:lang w:val="en-US" w:eastAsia="en-US"/>
              </w:rPr>
            </w:pPr>
          </w:p>
        </w:tc>
      </w:tr>
      <w:tr w:rsidR="00365416" w:rsidRPr="008C25D0">
        <w:tc>
          <w:tcPr>
            <w:tcW w:w="2394" w:type="dxa"/>
          </w:tcPr>
          <w:p w:rsidR="00365416" w:rsidRPr="00387A20" w:rsidRDefault="00365416">
            <w:pPr>
              <w:pStyle w:val="BodyText"/>
              <w:tabs>
                <w:tab w:val="clear" w:pos="360"/>
                <w:tab w:val="left" w:pos="1800"/>
                <w:tab w:val="left" w:pos="2520"/>
              </w:tabs>
              <w:jc w:val="center"/>
              <w:rPr>
                <w:b/>
                <w:lang w:val="en-US" w:eastAsia="en-US"/>
              </w:rPr>
            </w:pPr>
            <w:r w:rsidRPr="00387A20">
              <w:rPr>
                <w:b/>
                <w:lang w:val="en-US" w:eastAsia="en-US"/>
              </w:rPr>
              <w:t>Research</w:t>
            </w:r>
          </w:p>
        </w:tc>
        <w:tc>
          <w:tcPr>
            <w:tcW w:w="2394" w:type="dxa"/>
          </w:tcPr>
          <w:p w:rsidR="00365416" w:rsidRPr="00387A20" w:rsidRDefault="00365416">
            <w:pPr>
              <w:pStyle w:val="BodyText"/>
              <w:tabs>
                <w:tab w:val="clear" w:pos="360"/>
                <w:tab w:val="left" w:pos="1800"/>
                <w:tab w:val="left" w:pos="2520"/>
              </w:tabs>
              <w:rPr>
                <w:lang w:val="en-US" w:eastAsia="en-US"/>
              </w:rPr>
            </w:pPr>
          </w:p>
        </w:tc>
        <w:tc>
          <w:tcPr>
            <w:tcW w:w="2394" w:type="dxa"/>
          </w:tcPr>
          <w:p w:rsidR="00365416" w:rsidRPr="00387A20" w:rsidRDefault="00365416">
            <w:pPr>
              <w:pStyle w:val="BodyText"/>
              <w:tabs>
                <w:tab w:val="clear" w:pos="360"/>
                <w:tab w:val="left" w:pos="1800"/>
                <w:tab w:val="left" w:pos="2520"/>
              </w:tabs>
              <w:rPr>
                <w:lang w:val="en-US" w:eastAsia="en-US"/>
              </w:rPr>
            </w:pPr>
          </w:p>
        </w:tc>
        <w:tc>
          <w:tcPr>
            <w:tcW w:w="2394" w:type="dxa"/>
          </w:tcPr>
          <w:p w:rsidR="00365416" w:rsidRPr="00387A20" w:rsidRDefault="00365416">
            <w:pPr>
              <w:pStyle w:val="BodyText"/>
              <w:tabs>
                <w:tab w:val="clear" w:pos="360"/>
                <w:tab w:val="left" w:pos="1800"/>
                <w:tab w:val="left" w:pos="2520"/>
              </w:tabs>
              <w:rPr>
                <w:lang w:val="en-US" w:eastAsia="en-US"/>
              </w:rPr>
            </w:pPr>
          </w:p>
        </w:tc>
      </w:tr>
      <w:tr w:rsidR="00365416" w:rsidRPr="008C25D0">
        <w:tc>
          <w:tcPr>
            <w:tcW w:w="2394" w:type="dxa"/>
          </w:tcPr>
          <w:p w:rsidR="00365416" w:rsidRPr="00387A20" w:rsidRDefault="00365416">
            <w:pPr>
              <w:pStyle w:val="BodyText"/>
              <w:tabs>
                <w:tab w:val="clear" w:pos="360"/>
                <w:tab w:val="left" w:pos="1800"/>
                <w:tab w:val="left" w:pos="2520"/>
              </w:tabs>
              <w:jc w:val="center"/>
              <w:rPr>
                <w:b/>
                <w:lang w:val="en-US" w:eastAsia="en-US"/>
              </w:rPr>
            </w:pPr>
            <w:r w:rsidRPr="00387A20">
              <w:rPr>
                <w:b/>
                <w:lang w:val="en-US" w:eastAsia="en-US"/>
              </w:rPr>
              <w:t>Service</w:t>
            </w:r>
          </w:p>
        </w:tc>
        <w:tc>
          <w:tcPr>
            <w:tcW w:w="2394" w:type="dxa"/>
          </w:tcPr>
          <w:p w:rsidR="00365416" w:rsidRPr="00387A20" w:rsidRDefault="00365416">
            <w:pPr>
              <w:pStyle w:val="BodyText"/>
              <w:tabs>
                <w:tab w:val="clear" w:pos="360"/>
                <w:tab w:val="left" w:pos="1800"/>
                <w:tab w:val="left" w:pos="2520"/>
              </w:tabs>
              <w:rPr>
                <w:lang w:val="en-US" w:eastAsia="en-US"/>
              </w:rPr>
            </w:pPr>
          </w:p>
        </w:tc>
        <w:tc>
          <w:tcPr>
            <w:tcW w:w="2394" w:type="dxa"/>
          </w:tcPr>
          <w:p w:rsidR="00365416" w:rsidRPr="00387A20" w:rsidRDefault="00365416">
            <w:pPr>
              <w:pStyle w:val="BodyText"/>
              <w:tabs>
                <w:tab w:val="clear" w:pos="360"/>
                <w:tab w:val="left" w:pos="1800"/>
                <w:tab w:val="left" w:pos="2520"/>
              </w:tabs>
              <w:rPr>
                <w:lang w:val="en-US" w:eastAsia="en-US"/>
              </w:rPr>
            </w:pPr>
          </w:p>
        </w:tc>
        <w:tc>
          <w:tcPr>
            <w:tcW w:w="2394" w:type="dxa"/>
          </w:tcPr>
          <w:p w:rsidR="00365416" w:rsidRPr="00387A20" w:rsidRDefault="00365416">
            <w:pPr>
              <w:pStyle w:val="BodyText"/>
              <w:tabs>
                <w:tab w:val="clear" w:pos="360"/>
                <w:tab w:val="left" w:pos="1800"/>
                <w:tab w:val="left" w:pos="2520"/>
              </w:tabs>
              <w:rPr>
                <w:lang w:val="en-US" w:eastAsia="en-US"/>
              </w:rPr>
            </w:pPr>
          </w:p>
        </w:tc>
      </w:tr>
      <w:tr w:rsidR="00365416" w:rsidRPr="008C25D0">
        <w:trPr>
          <w:cantSplit/>
        </w:trPr>
        <w:tc>
          <w:tcPr>
            <w:tcW w:w="9576" w:type="dxa"/>
            <w:gridSpan w:val="4"/>
          </w:tcPr>
          <w:p w:rsidR="00365416" w:rsidRPr="00387A20" w:rsidRDefault="00365416">
            <w:pPr>
              <w:pStyle w:val="BodyText"/>
              <w:tabs>
                <w:tab w:val="clear" w:pos="360"/>
                <w:tab w:val="left" w:pos="1800"/>
                <w:tab w:val="left" w:pos="2520"/>
              </w:tabs>
              <w:jc w:val="center"/>
              <w:rPr>
                <w:lang w:val="en-US" w:eastAsia="en-US"/>
              </w:rPr>
            </w:pPr>
            <w:r w:rsidRPr="00387A20">
              <w:rPr>
                <w:lang w:val="en-US" w:eastAsia="en-US"/>
              </w:rPr>
              <w:t xml:space="preserve">Weighted Average Performance Score:  </w:t>
            </w:r>
          </w:p>
        </w:tc>
      </w:tr>
    </w:tbl>
    <w:p w:rsidR="00365416" w:rsidRPr="008C25D0" w:rsidRDefault="00365416">
      <w:pPr>
        <w:pStyle w:val="BodyText"/>
        <w:tabs>
          <w:tab w:val="clear" w:pos="360"/>
          <w:tab w:val="left" w:pos="1800"/>
          <w:tab w:val="left" w:pos="2520"/>
        </w:tabs>
      </w:pPr>
    </w:p>
    <w:p w:rsidR="00365416" w:rsidRPr="008C25D0" w:rsidRDefault="00365416" w:rsidP="006E24B6">
      <w:pPr>
        <w:pStyle w:val="BodyText"/>
        <w:tabs>
          <w:tab w:val="clear" w:pos="360"/>
          <w:tab w:val="left" w:pos="1800"/>
          <w:tab w:val="left" w:pos="2520"/>
        </w:tabs>
        <w:ind w:left="360"/>
      </w:pPr>
      <w:r w:rsidRPr="008C25D0">
        <w:t xml:space="preserve">The merit increase recommendation from the </w:t>
      </w:r>
      <w:r w:rsidR="005C1F28" w:rsidRPr="008C25D0">
        <w:t>D</w:t>
      </w:r>
      <w:r w:rsidRPr="008C25D0">
        <w:t xml:space="preserve">epartment </w:t>
      </w:r>
      <w:r w:rsidR="00DC4D4E">
        <w:rPr>
          <w:lang w:val="en-US"/>
        </w:rPr>
        <w:t>H</w:t>
      </w:r>
      <w:proofErr w:type="spellStart"/>
      <w:r w:rsidR="00DC4D4E" w:rsidRPr="008C25D0">
        <w:t>ead</w:t>
      </w:r>
      <w:proofErr w:type="spellEnd"/>
      <w:r w:rsidR="00DC4D4E" w:rsidRPr="008C25D0">
        <w:t xml:space="preserve"> </w:t>
      </w:r>
      <w:r w:rsidRPr="008C25D0">
        <w:t>will be based on the weighted average performance score (from the above table). The weighted average sc</w:t>
      </w:r>
      <w:r w:rsidR="005C1F28" w:rsidRPr="008C25D0">
        <w:t>ore will be normalized for the D</w:t>
      </w:r>
      <w:r w:rsidRPr="008C25D0">
        <w:t>epartment and that figure will be used to determine the</w:t>
      </w:r>
      <w:r w:rsidR="005C1F28" w:rsidRPr="008C25D0">
        <w:t xml:space="preserve"> faculty member’s share of the D</w:t>
      </w:r>
      <w:r w:rsidRPr="008C25D0">
        <w:t>epartment’s merit increase pool. For example, if one has a 3.0 weighted averag</w:t>
      </w:r>
      <w:r w:rsidR="005C1F28" w:rsidRPr="008C25D0">
        <w:t>e and the D</w:t>
      </w:r>
      <w:r w:rsidRPr="008C25D0">
        <w:t>epartment’s collective average is 3.0 and the salary pool inc</w:t>
      </w:r>
      <w:r w:rsidR="005C1F28" w:rsidRPr="008C25D0">
        <w:t>rease for merit raises for the D</w:t>
      </w:r>
      <w:r w:rsidRPr="008C25D0">
        <w:t xml:space="preserve">epartment </w:t>
      </w:r>
      <w:r w:rsidRPr="008C25D0">
        <w:lastRenderedPageBreak/>
        <w:t xml:space="preserve">is 3.5%, then that faculty member would get a 3.5% </w:t>
      </w:r>
      <w:r w:rsidR="008C08E5">
        <w:rPr>
          <w:lang w:val="en-US"/>
        </w:rPr>
        <w:t>(3.0/</w:t>
      </w:r>
      <w:r w:rsidR="00244EC1">
        <w:rPr>
          <w:lang w:val="en-US"/>
        </w:rPr>
        <w:t>3.0×</w:t>
      </w:r>
      <w:r w:rsidR="008C08E5">
        <w:rPr>
          <w:lang w:val="en-US"/>
        </w:rPr>
        <w:t xml:space="preserve">3.5) </w:t>
      </w:r>
      <w:r w:rsidRPr="008C25D0">
        <w:t>merit increase</w:t>
      </w:r>
      <w:r w:rsidR="00FA4AA3" w:rsidRPr="008C25D0">
        <w:t xml:space="preserve"> recommendation from the Department Head</w:t>
      </w:r>
      <w:r w:rsidRPr="008C25D0">
        <w:t xml:space="preserve">. If the weighted average performance score had been 3.3, then the percentage merit increase </w:t>
      </w:r>
      <w:r w:rsidR="00FA4AA3" w:rsidRPr="008C25D0">
        <w:t xml:space="preserve">recommendation </w:t>
      </w:r>
      <w:r w:rsidRPr="008C25D0">
        <w:t xml:space="preserve">would be 3.85% (3.3/3.0 </w:t>
      </w:r>
      <w:r w:rsidR="00244EC1">
        <w:t>×</w:t>
      </w:r>
      <w:r w:rsidRPr="008C25D0">
        <w:t xml:space="preserve">3.5). </w:t>
      </w:r>
    </w:p>
    <w:p w:rsidR="00365416" w:rsidRPr="00034FD0" w:rsidRDefault="00365416" w:rsidP="00034FD0">
      <w:pPr>
        <w:tabs>
          <w:tab w:val="left" w:pos="360"/>
        </w:tabs>
        <w:spacing w:line="360" w:lineRule="auto"/>
        <w:rPr>
          <w:sz w:val="22"/>
        </w:rPr>
      </w:pPr>
    </w:p>
    <w:p w:rsidR="00365416" w:rsidRPr="002C66A0" w:rsidRDefault="002C66A0">
      <w:pPr>
        <w:rPr>
          <w:b/>
          <w:sz w:val="24"/>
          <w:szCs w:val="24"/>
        </w:rPr>
      </w:pPr>
      <w:proofErr w:type="gramStart"/>
      <w:r w:rsidRPr="002C66A0">
        <w:rPr>
          <w:b/>
          <w:sz w:val="24"/>
          <w:szCs w:val="24"/>
        </w:rPr>
        <w:t>I.B.</w:t>
      </w:r>
      <w:proofErr w:type="gramEnd"/>
      <w:r w:rsidRPr="002C66A0">
        <w:rPr>
          <w:b/>
          <w:sz w:val="24"/>
          <w:szCs w:val="24"/>
        </w:rPr>
        <w:t xml:space="preserve">  Professorial Performance Award  </w:t>
      </w:r>
    </w:p>
    <w:p w:rsidR="002C66A0" w:rsidRDefault="002C66A0" w:rsidP="0094177D">
      <w:pPr>
        <w:rPr>
          <w:b/>
          <w:sz w:val="22"/>
        </w:rPr>
      </w:pPr>
    </w:p>
    <w:p w:rsidR="002C66A0" w:rsidRPr="008C25D0" w:rsidRDefault="002C66A0" w:rsidP="0094177D">
      <w:pPr>
        <w:pStyle w:val="Heading3"/>
        <w:spacing w:before="0" w:beforeAutospacing="0" w:after="0" w:afterAutospacing="0"/>
        <w:rPr>
          <w:b w:val="0"/>
          <w:sz w:val="22"/>
        </w:rPr>
      </w:pPr>
      <w:r w:rsidRPr="008C25D0">
        <w:rPr>
          <w:b w:val="0"/>
          <w:sz w:val="22"/>
        </w:rPr>
        <w:t>The following section refers to the departmental procedures and criteria regarding the Professorial Performance Awards, approved by th</w:t>
      </w:r>
      <w:r w:rsidR="00BD5BE5">
        <w:rPr>
          <w:b w:val="0"/>
          <w:sz w:val="22"/>
        </w:rPr>
        <w:t xml:space="preserve">e </w:t>
      </w:r>
      <w:r w:rsidR="001A009A">
        <w:rPr>
          <w:b w:val="0"/>
          <w:sz w:val="22"/>
        </w:rPr>
        <w:t xml:space="preserve">university </w:t>
      </w:r>
      <w:r w:rsidR="00BD5BE5">
        <w:rPr>
          <w:b w:val="0"/>
          <w:sz w:val="22"/>
        </w:rPr>
        <w:t>in spring of 2006.</w:t>
      </w:r>
      <w:r w:rsidRPr="008C25D0">
        <w:rPr>
          <w:b w:val="0"/>
          <w:sz w:val="22"/>
        </w:rPr>
        <w:t xml:space="preserve"> This award is intended to recognize excellent and sustained performance of full professors.  </w:t>
      </w:r>
    </w:p>
    <w:p w:rsidR="002C66A0" w:rsidRPr="008C25D0" w:rsidRDefault="002C66A0" w:rsidP="0094177D">
      <w:pPr>
        <w:pStyle w:val="Heading3"/>
        <w:spacing w:before="0" w:beforeAutospacing="0" w:after="0" w:afterAutospacing="0"/>
        <w:rPr>
          <w:b w:val="0"/>
          <w:sz w:val="22"/>
        </w:rPr>
      </w:pPr>
    </w:p>
    <w:p w:rsidR="002C66A0" w:rsidRPr="008C25D0" w:rsidRDefault="002C66A0" w:rsidP="0094177D">
      <w:pPr>
        <w:pStyle w:val="Heading3"/>
        <w:spacing w:before="0" w:beforeAutospacing="0" w:after="0" w:afterAutospacing="0"/>
        <w:rPr>
          <w:b w:val="0"/>
          <w:sz w:val="22"/>
        </w:rPr>
      </w:pPr>
      <w:r w:rsidRPr="0094177D">
        <w:rPr>
          <w:b w:val="0"/>
          <w:sz w:val="22"/>
        </w:rPr>
        <w:t>In order to qualify for this award, the candidate must</w:t>
      </w:r>
      <w:r w:rsidRPr="008C25D0">
        <w:rPr>
          <w:b w:val="0"/>
          <w:sz w:val="22"/>
        </w:rPr>
        <w:t xml:space="preserve"> be a</w:t>
      </w:r>
      <w:r w:rsidR="00E36616">
        <w:rPr>
          <w:b w:val="0"/>
          <w:sz w:val="22"/>
        </w:rPr>
        <w:t xml:space="preserve"> full-time</w:t>
      </w:r>
      <w:r w:rsidRPr="008C25D0">
        <w:rPr>
          <w:b w:val="0"/>
          <w:sz w:val="22"/>
        </w:rPr>
        <w:t xml:space="preserve"> full professor and have been in rank </w:t>
      </w:r>
      <w:r w:rsidR="001A009A">
        <w:rPr>
          <w:b w:val="0"/>
          <w:sz w:val="22"/>
        </w:rPr>
        <w:t xml:space="preserve">at K-State </w:t>
      </w:r>
      <w:r w:rsidRPr="008C25D0">
        <w:rPr>
          <w:b w:val="0"/>
          <w:sz w:val="22"/>
        </w:rPr>
        <w:t xml:space="preserve">at least six years since the last promotion or </w:t>
      </w:r>
      <w:r w:rsidR="008C08E5">
        <w:rPr>
          <w:b w:val="0"/>
          <w:sz w:val="22"/>
        </w:rPr>
        <w:t>P</w:t>
      </w:r>
      <w:r w:rsidRPr="008C25D0">
        <w:rPr>
          <w:b w:val="0"/>
          <w:sz w:val="22"/>
        </w:rPr>
        <w:t xml:space="preserve">rofessorial </w:t>
      </w:r>
      <w:r w:rsidR="008C08E5">
        <w:rPr>
          <w:b w:val="0"/>
          <w:sz w:val="22"/>
        </w:rPr>
        <w:t>P</w:t>
      </w:r>
      <w:r w:rsidRPr="008C25D0">
        <w:rPr>
          <w:b w:val="0"/>
          <w:sz w:val="22"/>
        </w:rPr>
        <w:t xml:space="preserve">erformance </w:t>
      </w:r>
      <w:r w:rsidR="008C08E5">
        <w:rPr>
          <w:b w:val="0"/>
          <w:sz w:val="22"/>
        </w:rPr>
        <w:t>A</w:t>
      </w:r>
      <w:r w:rsidRPr="008C25D0">
        <w:rPr>
          <w:b w:val="0"/>
          <w:sz w:val="22"/>
        </w:rPr>
        <w:t xml:space="preserve">ward.  The candidate must show evidence of sustained productivity in at least the last six years, according to the criteria shown below.  The general guidelines and procedures for this award follow sections C49.1 to C49.14 in the </w:t>
      </w:r>
      <w:r w:rsidRPr="008C25D0">
        <w:rPr>
          <w:b w:val="0"/>
          <w:i/>
          <w:sz w:val="22"/>
        </w:rPr>
        <w:t>University Handbook</w:t>
      </w:r>
      <w:r w:rsidRPr="008C25D0">
        <w:rPr>
          <w:b w:val="0"/>
          <w:sz w:val="22"/>
        </w:rPr>
        <w:t xml:space="preserve">.  The Department procedures are shown below, as well as the criteria developed by the Department.  </w:t>
      </w:r>
    </w:p>
    <w:p w:rsidR="002C66A0" w:rsidRPr="008C25D0" w:rsidRDefault="002C66A0" w:rsidP="0094177D">
      <w:pPr>
        <w:pStyle w:val="Heading3"/>
        <w:spacing w:before="0" w:beforeAutospacing="0" w:after="0" w:afterAutospacing="0"/>
        <w:rPr>
          <w:b w:val="0"/>
          <w:sz w:val="22"/>
        </w:rPr>
      </w:pPr>
    </w:p>
    <w:p w:rsidR="002C66A0" w:rsidRPr="002C66A0" w:rsidRDefault="002C66A0" w:rsidP="0094177D">
      <w:pPr>
        <w:pStyle w:val="Heading3"/>
        <w:tabs>
          <w:tab w:val="left" w:pos="360"/>
        </w:tabs>
        <w:spacing w:before="0" w:beforeAutospacing="0" w:after="0" w:afterAutospacing="0"/>
        <w:ind w:left="288"/>
        <w:rPr>
          <w:sz w:val="24"/>
          <w:szCs w:val="24"/>
        </w:rPr>
      </w:pPr>
      <w:r w:rsidRPr="002C66A0">
        <w:rPr>
          <w:sz w:val="24"/>
          <w:szCs w:val="24"/>
        </w:rPr>
        <w:t>1.  Procedures</w:t>
      </w:r>
    </w:p>
    <w:p w:rsidR="002C66A0" w:rsidRPr="008C25D0" w:rsidRDefault="002C66A0" w:rsidP="0094177D">
      <w:pPr>
        <w:pStyle w:val="Heading3"/>
        <w:spacing w:before="0" w:beforeAutospacing="0" w:after="0" w:afterAutospacing="0"/>
        <w:rPr>
          <w:b w:val="0"/>
          <w:sz w:val="22"/>
        </w:rPr>
      </w:pPr>
    </w:p>
    <w:p w:rsidR="002C66A0" w:rsidRPr="008C25D0" w:rsidRDefault="002C66A0" w:rsidP="0094177D">
      <w:pPr>
        <w:pStyle w:val="Heading3"/>
        <w:spacing w:before="0" w:beforeAutospacing="0" w:after="0" w:afterAutospacing="0"/>
        <w:ind w:left="288"/>
        <w:rPr>
          <w:b w:val="0"/>
          <w:sz w:val="22"/>
          <w:szCs w:val="22"/>
        </w:rPr>
      </w:pPr>
      <w:r w:rsidRPr="008C25D0">
        <w:rPr>
          <w:b w:val="0"/>
          <w:sz w:val="22"/>
          <w:szCs w:val="22"/>
        </w:rPr>
        <w:t xml:space="preserve">The general procedures follow those for annual evaluation more closely than those for promotions, in that the nomination process is a self-nominated process and will have a deadline in January rather than the fall semester.  </w:t>
      </w:r>
    </w:p>
    <w:p w:rsidR="001766F8" w:rsidRDefault="001766F8" w:rsidP="0094177D">
      <w:pPr>
        <w:pStyle w:val="Heading3"/>
        <w:spacing w:before="0" w:beforeAutospacing="0" w:after="0" w:afterAutospacing="0"/>
        <w:ind w:left="288"/>
        <w:rPr>
          <w:b w:val="0"/>
          <w:sz w:val="22"/>
          <w:szCs w:val="22"/>
        </w:rPr>
      </w:pPr>
    </w:p>
    <w:p w:rsidR="002C66A0" w:rsidRPr="008C25D0" w:rsidRDefault="002C66A0" w:rsidP="0094177D">
      <w:pPr>
        <w:pStyle w:val="Heading3"/>
        <w:spacing w:before="0" w:beforeAutospacing="0" w:after="0" w:afterAutospacing="0"/>
        <w:ind w:left="288"/>
        <w:rPr>
          <w:b w:val="0"/>
          <w:sz w:val="22"/>
          <w:szCs w:val="22"/>
        </w:rPr>
      </w:pPr>
      <w:r w:rsidRPr="008C25D0">
        <w:rPr>
          <w:b w:val="0"/>
          <w:sz w:val="22"/>
          <w:szCs w:val="22"/>
        </w:rPr>
        <w:t xml:space="preserve">Full professors who are eligible for the award will compile and submit a file that documents </w:t>
      </w:r>
      <w:r w:rsidR="00B809EB">
        <w:rPr>
          <w:b w:val="0"/>
          <w:sz w:val="22"/>
          <w:szCs w:val="22"/>
        </w:rPr>
        <w:t>their</w:t>
      </w:r>
      <w:r w:rsidRPr="008C25D0">
        <w:rPr>
          <w:b w:val="0"/>
          <w:sz w:val="22"/>
          <w:szCs w:val="22"/>
        </w:rPr>
        <w:t xml:space="preserve"> professional accomplishments for the previous six years in accordance with the criteria and standards established by the </w:t>
      </w:r>
      <w:r w:rsidR="00DC4D4E">
        <w:rPr>
          <w:b w:val="0"/>
          <w:sz w:val="22"/>
          <w:szCs w:val="22"/>
        </w:rPr>
        <w:t>D</w:t>
      </w:r>
      <w:r w:rsidR="00DC4D4E" w:rsidRPr="008C25D0">
        <w:rPr>
          <w:b w:val="0"/>
          <w:sz w:val="22"/>
          <w:szCs w:val="22"/>
        </w:rPr>
        <w:t>epartment</w:t>
      </w:r>
      <w:r w:rsidRPr="008C25D0">
        <w:rPr>
          <w:b w:val="0"/>
          <w:sz w:val="22"/>
          <w:szCs w:val="22"/>
        </w:rPr>
        <w:t xml:space="preserve">.  This file is submitted to the </w:t>
      </w:r>
      <w:r w:rsidR="00DC4D4E">
        <w:rPr>
          <w:b w:val="0"/>
          <w:sz w:val="22"/>
          <w:szCs w:val="22"/>
        </w:rPr>
        <w:t>D</w:t>
      </w:r>
      <w:r w:rsidR="00DC4D4E" w:rsidRPr="008C25D0">
        <w:rPr>
          <w:b w:val="0"/>
          <w:sz w:val="22"/>
          <w:szCs w:val="22"/>
        </w:rPr>
        <w:t xml:space="preserve">epartment </w:t>
      </w:r>
      <w:r w:rsidR="00DC4D4E">
        <w:rPr>
          <w:b w:val="0"/>
          <w:sz w:val="22"/>
          <w:szCs w:val="22"/>
        </w:rPr>
        <w:t>H</w:t>
      </w:r>
      <w:r w:rsidR="00DC4D4E" w:rsidRPr="008C25D0">
        <w:rPr>
          <w:b w:val="0"/>
          <w:sz w:val="22"/>
          <w:szCs w:val="22"/>
        </w:rPr>
        <w:t xml:space="preserve">ead </w:t>
      </w:r>
      <w:r w:rsidRPr="008C25D0">
        <w:rPr>
          <w:b w:val="0"/>
          <w:sz w:val="22"/>
          <w:szCs w:val="22"/>
        </w:rPr>
        <w:t xml:space="preserve">in January, at the time of annual evaluations.  The </w:t>
      </w:r>
      <w:r w:rsidR="00DC4D4E">
        <w:rPr>
          <w:b w:val="0"/>
          <w:sz w:val="22"/>
          <w:szCs w:val="22"/>
        </w:rPr>
        <w:t>D</w:t>
      </w:r>
      <w:r w:rsidR="00DC4D4E" w:rsidRPr="008C25D0">
        <w:rPr>
          <w:b w:val="0"/>
          <w:sz w:val="22"/>
          <w:szCs w:val="22"/>
        </w:rPr>
        <w:t xml:space="preserve">epartment </w:t>
      </w:r>
      <w:r w:rsidR="00DC4D4E">
        <w:rPr>
          <w:b w:val="0"/>
          <w:sz w:val="22"/>
          <w:szCs w:val="22"/>
        </w:rPr>
        <w:t>H</w:t>
      </w:r>
      <w:r w:rsidR="00DC4D4E" w:rsidRPr="008C25D0">
        <w:rPr>
          <w:b w:val="0"/>
          <w:sz w:val="22"/>
          <w:szCs w:val="22"/>
        </w:rPr>
        <w:t xml:space="preserve">ead </w:t>
      </w:r>
      <w:r w:rsidRPr="008C25D0">
        <w:rPr>
          <w:b w:val="0"/>
          <w:sz w:val="22"/>
          <w:szCs w:val="22"/>
        </w:rPr>
        <w:t xml:space="preserve">will prepare a written evaluation of the candidate's materials in terms of the criteria, standards, and guidelines established, along with a recommendation for or against the award.  </w:t>
      </w:r>
    </w:p>
    <w:p w:rsidR="002C66A0" w:rsidRPr="008C25D0" w:rsidRDefault="002C66A0" w:rsidP="0094177D">
      <w:pPr>
        <w:pStyle w:val="Heading3"/>
        <w:spacing w:before="0" w:beforeAutospacing="0" w:after="0" w:afterAutospacing="0"/>
        <w:ind w:left="288"/>
        <w:rPr>
          <w:b w:val="0"/>
          <w:sz w:val="22"/>
          <w:szCs w:val="22"/>
        </w:rPr>
      </w:pPr>
    </w:p>
    <w:p w:rsidR="002C66A0" w:rsidRPr="008C25D0" w:rsidRDefault="002C66A0" w:rsidP="0094177D">
      <w:pPr>
        <w:pStyle w:val="Heading3"/>
        <w:spacing w:before="0" w:beforeAutospacing="0" w:after="0" w:afterAutospacing="0"/>
        <w:ind w:left="288"/>
        <w:rPr>
          <w:b w:val="0"/>
          <w:sz w:val="22"/>
          <w:szCs w:val="22"/>
        </w:rPr>
      </w:pPr>
      <w:r w:rsidRPr="008C25D0">
        <w:rPr>
          <w:b w:val="0"/>
          <w:sz w:val="22"/>
          <w:szCs w:val="22"/>
        </w:rPr>
        <w:t xml:space="preserve">Each candidate for the award will have the opportunity to discuss the written evaluation and recommendation with the </w:t>
      </w:r>
      <w:r w:rsidR="0091125A">
        <w:rPr>
          <w:b w:val="0"/>
          <w:sz w:val="22"/>
          <w:szCs w:val="22"/>
        </w:rPr>
        <w:t>D</w:t>
      </w:r>
      <w:r w:rsidR="0091125A" w:rsidRPr="008C25D0">
        <w:rPr>
          <w:b w:val="0"/>
          <w:sz w:val="22"/>
          <w:szCs w:val="22"/>
        </w:rPr>
        <w:t xml:space="preserve">epartment </w:t>
      </w:r>
      <w:r w:rsidR="0091125A">
        <w:rPr>
          <w:b w:val="0"/>
          <w:sz w:val="22"/>
          <w:szCs w:val="22"/>
        </w:rPr>
        <w:t>H</w:t>
      </w:r>
      <w:r w:rsidR="0091125A" w:rsidRPr="008C25D0">
        <w:rPr>
          <w:b w:val="0"/>
          <w:sz w:val="22"/>
          <w:szCs w:val="22"/>
        </w:rPr>
        <w:t>ead</w:t>
      </w:r>
      <w:r w:rsidRPr="008C25D0">
        <w:rPr>
          <w:b w:val="0"/>
          <w:sz w:val="22"/>
          <w:szCs w:val="22"/>
        </w:rPr>
        <w:t xml:space="preserve">, and each candidate will sign a statement acknowledging the opportunity to review the evaluation.  Within seven working days after the review and discussion, each candidate has the opportunity to submit written statements of unresolved differences regarding his or her evaluation to the </w:t>
      </w:r>
      <w:r w:rsidR="0091125A">
        <w:rPr>
          <w:b w:val="0"/>
          <w:sz w:val="22"/>
          <w:szCs w:val="22"/>
        </w:rPr>
        <w:t>D</w:t>
      </w:r>
      <w:r w:rsidR="0091125A" w:rsidRPr="008C25D0">
        <w:rPr>
          <w:b w:val="0"/>
          <w:sz w:val="22"/>
          <w:szCs w:val="22"/>
        </w:rPr>
        <w:t xml:space="preserve">epartment </w:t>
      </w:r>
      <w:r w:rsidR="0091125A">
        <w:rPr>
          <w:b w:val="0"/>
          <w:sz w:val="22"/>
          <w:szCs w:val="22"/>
        </w:rPr>
        <w:t>H</w:t>
      </w:r>
      <w:r w:rsidR="0091125A" w:rsidRPr="008C25D0">
        <w:rPr>
          <w:b w:val="0"/>
          <w:sz w:val="22"/>
          <w:szCs w:val="22"/>
        </w:rPr>
        <w:t xml:space="preserve">ead </w:t>
      </w:r>
      <w:r w:rsidRPr="008C25D0">
        <w:rPr>
          <w:b w:val="0"/>
          <w:sz w:val="22"/>
          <w:szCs w:val="22"/>
        </w:rPr>
        <w:t xml:space="preserve">and to the </w:t>
      </w:r>
      <w:r w:rsidR="0091125A">
        <w:rPr>
          <w:b w:val="0"/>
          <w:sz w:val="22"/>
          <w:szCs w:val="22"/>
        </w:rPr>
        <w:t>D</w:t>
      </w:r>
      <w:r w:rsidR="0091125A" w:rsidRPr="008C25D0">
        <w:rPr>
          <w:b w:val="0"/>
          <w:sz w:val="22"/>
          <w:szCs w:val="22"/>
        </w:rPr>
        <w:t>ean</w:t>
      </w:r>
      <w:r w:rsidRPr="008C25D0">
        <w:rPr>
          <w:b w:val="0"/>
          <w:sz w:val="22"/>
          <w:szCs w:val="22"/>
        </w:rPr>
        <w:t xml:space="preserve">.  </w:t>
      </w:r>
    </w:p>
    <w:p w:rsidR="002C66A0" w:rsidRPr="008C25D0" w:rsidRDefault="002C66A0" w:rsidP="0094177D">
      <w:pPr>
        <w:pStyle w:val="Heading3"/>
        <w:spacing w:before="0" w:beforeAutospacing="0" w:after="0" w:afterAutospacing="0"/>
        <w:ind w:left="288"/>
        <w:rPr>
          <w:b w:val="0"/>
          <w:sz w:val="22"/>
          <w:szCs w:val="22"/>
        </w:rPr>
      </w:pPr>
    </w:p>
    <w:p w:rsidR="002C66A0" w:rsidRPr="006E24B6" w:rsidRDefault="002C66A0" w:rsidP="0094177D">
      <w:pPr>
        <w:pStyle w:val="Heading3"/>
        <w:spacing w:before="0" w:beforeAutospacing="0" w:after="0" w:afterAutospacing="0"/>
        <w:ind w:left="288"/>
        <w:rPr>
          <w:b w:val="0"/>
          <w:sz w:val="22"/>
          <w:szCs w:val="22"/>
        </w:rPr>
      </w:pPr>
      <w:r w:rsidRPr="006E24B6">
        <w:rPr>
          <w:b w:val="0"/>
          <w:sz w:val="22"/>
          <w:szCs w:val="22"/>
        </w:rPr>
        <w:t xml:space="preserve">A copy of the </w:t>
      </w:r>
      <w:r w:rsidR="00C44BCC">
        <w:rPr>
          <w:b w:val="0"/>
          <w:sz w:val="22"/>
          <w:szCs w:val="22"/>
        </w:rPr>
        <w:t>D</w:t>
      </w:r>
      <w:r w:rsidRPr="006E24B6">
        <w:rPr>
          <w:b w:val="0"/>
          <w:sz w:val="22"/>
          <w:szCs w:val="22"/>
        </w:rPr>
        <w:t xml:space="preserve">epartment </w:t>
      </w:r>
      <w:r w:rsidR="00C44BCC">
        <w:rPr>
          <w:b w:val="0"/>
          <w:sz w:val="22"/>
          <w:szCs w:val="22"/>
        </w:rPr>
        <w:t>H</w:t>
      </w:r>
      <w:r w:rsidRPr="006E24B6">
        <w:rPr>
          <w:b w:val="0"/>
          <w:sz w:val="22"/>
          <w:szCs w:val="22"/>
        </w:rPr>
        <w:t xml:space="preserve">ead’s written recommendation will be forwarded to the candidate.  The department head must submit the following items to the appropriate dean: </w:t>
      </w:r>
    </w:p>
    <w:p w:rsidR="002C66A0" w:rsidRPr="006E24B6" w:rsidRDefault="001766F8" w:rsidP="0094177D">
      <w:pPr>
        <w:pStyle w:val="Heading3"/>
        <w:spacing w:before="0" w:beforeAutospacing="0" w:after="0" w:afterAutospacing="0"/>
        <w:ind w:left="288"/>
        <w:rPr>
          <w:b w:val="0"/>
          <w:sz w:val="22"/>
          <w:szCs w:val="22"/>
        </w:rPr>
      </w:pPr>
      <w:r>
        <w:rPr>
          <w:b w:val="0"/>
          <w:sz w:val="22"/>
          <w:szCs w:val="22"/>
        </w:rPr>
        <w:tab/>
      </w:r>
      <w:r w:rsidR="002C66A0" w:rsidRPr="006E24B6">
        <w:rPr>
          <w:b w:val="0"/>
          <w:sz w:val="22"/>
          <w:szCs w:val="22"/>
        </w:rPr>
        <w:t>a.</w:t>
      </w:r>
      <w:r>
        <w:rPr>
          <w:b w:val="0"/>
          <w:sz w:val="22"/>
          <w:szCs w:val="22"/>
        </w:rPr>
        <w:t xml:space="preserve"> </w:t>
      </w:r>
      <w:r w:rsidR="002C66A0" w:rsidRPr="006E24B6">
        <w:rPr>
          <w:b w:val="0"/>
          <w:sz w:val="22"/>
          <w:szCs w:val="22"/>
        </w:rPr>
        <w:t>A copy of the evaluation document used to determine qualification for the award,</w:t>
      </w:r>
    </w:p>
    <w:p w:rsidR="002C66A0" w:rsidRPr="006E24B6" w:rsidRDefault="001766F8" w:rsidP="0094177D">
      <w:pPr>
        <w:pStyle w:val="Heading3"/>
        <w:spacing w:before="0" w:beforeAutospacing="0" w:after="0" w:afterAutospacing="0"/>
        <w:ind w:left="288"/>
        <w:rPr>
          <w:b w:val="0"/>
          <w:sz w:val="22"/>
          <w:szCs w:val="22"/>
        </w:rPr>
      </w:pPr>
      <w:r>
        <w:rPr>
          <w:b w:val="0"/>
          <w:sz w:val="22"/>
          <w:szCs w:val="22"/>
        </w:rPr>
        <w:tab/>
      </w:r>
      <w:r w:rsidR="002C66A0" w:rsidRPr="006E24B6">
        <w:rPr>
          <w:b w:val="0"/>
          <w:sz w:val="22"/>
          <w:szCs w:val="22"/>
        </w:rPr>
        <w:t>b.</w:t>
      </w:r>
      <w:r>
        <w:rPr>
          <w:b w:val="0"/>
          <w:sz w:val="22"/>
          <w:szCs w:val="22"/>
        </w:rPr>
        <w:t xml:space="preserve"> </w:t>
      </w:r>
      <w:r w:rsidR="002C66A0" w:rsidRPr="006E24B6">
        <w:rPr>
          <w:b w:val="0"/>
          <w:sz w:val="22"/>
          <w:szCs w:val="22"/>
        </w:rPr>
        <w:t xml:space="preserve">Documentation establishing that there was an opportunity for the candidate to examine the </w:t>
      </w:r>
      <w:r w:rsidR="00E014C2">
        <w:rPr>
          <w:b w:val="0"/>
          <w:sz w:val="22"/>
          <w:szCs w:val="22"/>
        </w:rPr>
        <w:tab/>
      </w:r>
      <w:r>
        <w:rPr>
          <w:b w:val="0"/>
          <w:sz w:val="22"/>
          <w:szCs w:val="22"/>
        </w:rPr>
        <w:tab/>
      </w:r>
      <w:r w:rsidR="002C66A0" w:rsidRPr="006E24B6">
        <w:rPr>
          <w:b w:val="0"/>
          <w:sz w:val="22"/>
          <w:szCs w:val="22"/>
        </w:rPr>
        <w:t>written evaluation and recommendation,</w:t>
      </w:r>
    </w:p>
    <w:p w:rsidR="002C66A0" w:rsidRPr="006E24B6" w:rsidRDefault="001766F8" w:rsidP="0094177D">
      <w:pPr>
        <w:pStyle w:val="Heading3"/>
        <w:spacing w:before="0" w:beforeAutospacing="0" w:after="0" w:afterAutospacing="0"/>
        <w:ind w:left="288"/>
        <w:rPr>
          <w:b w:val="0"/>
          <w:sz w:val="22"/>
          <w:szCs w:val="22"/>
        </w:rPr>
      </w:pPr>
      <w:r>
        <w:rPr>
          <w:b w:val="0"/>
          <w:sz w:val="22"/>
          <w:szCs w:val="22"/>
        </w:rPr>
        <w:tab/>
      </w:r>
      <w:r w:rsidR="002C66A0" w:rsidRPr="006E24B6">
        <w:rPr>
          <w:b w:val="0"/>
          <w:sz w:val="22"/>
          <w:szCs w:val="22"/>
        </w:rPr>
        <w:t>c.</w:t>
      </w:r>
      <w:r>
        <w:rPr>
          <w:b w:val="0"/>
          <w:sz w:val="22"/>
          <w:szCs w:val="22"/>
        </w:rPr>
        <w:t xml:space="preserve"> </w:t>
      </w:r>
      <w:r w:rsidR="002C66A0" w:rsidRPr="006E24B6">
        <w:rPr>
          <w:b w:val="0"/>
          <w:sz w:val="22"/>
          <w:szCs w:val="22"/>
        </w:rPr>
        <w:t>Any written statements of unresolved differences concerning the evaluation,</w:t>
      </w:r>
    </w:p>
    <w:p w:rsidR="002C66A0" w:rsidRPr="006E24B6" w:rsidRDefault="001766F8" w:rsidP="0094177D">
      <w:pPr>
        <w:pStyle w:val="Heading3"/>
        <w:spacing w:before="0" w:beforeAutospacing="0" w:after="0" w:afterAutospacing="0"/>
        <w:ind w:left="288"/>
        <w:rPr>
          <w:b w:val="0"/>
          <w:sz w:val="22"/>
          <w:szCs w:val="22"/>
        </w:rPr>
      </w:pPr>
      <w:r>
        <w:rPr>
          <w:b w:val="0"/>
          <w:sz w:val="22"/>
          <w:szCs w:val="22"/>
        </w:rPr>
        <w:tab/>
      </w:r>
      <w:r w:rsidR="002C66A0" w:rsidRPr="006E24B6">
        <w:rPr>
          <w:b w:val="0"/>
          <w:sz w:val="22"/>
          <w:szCs w:val="22"/>
        </w:rPr>
        <w:t>d.</w:t>
      </w:r>
      <w:r>
        <w:rPr>
          <w:b w:val="0"/>
          <w:sz w:val="22"/>
          <w:szCs w:val="22"/>
        </w:rPr>
        <w:t xml:space="preserve"> </w:t>
      </w:r>
      <w:r w:rsidR="002C66A0" w:rsidRPr="006E24B6">
        <w:rPr>
          <w:b w:val="0"/>
          <w:sz w:val="22"/>
          <w:szCs w:val="22"/>
        </w:rPr>
        <w:t xml:space="preserve">The candidate's supporting materials that served as the basis of adjudicating eligibility for the </w:t>
      </w:r>
      <w:r w:rsidR="00E014C2">
        <w:rPr>
          <w:b w:val="0"/>
          <w:sz w:val="22"/>
          <w:szCs w:val="22"/>
        </w:rPr>
        <w:tab/>
      </w:r>
      <w:r w:rsidR="002C66A0" w:rsidRPr="006E24B6">
        <w:rPr>
          <w:b w:val="0"/>
          <w:sz w:val="22"/>
          <w:szCs w:val="22"/>
        </w:rPr>
        <w:t>award.</w:t>
      </w:r>
    </w:p>
    <w:p w:rsidR="002C66A0" w:rsidRPr="008C25D0" w:rsidRDefault="002C66A0" w:rsidP="0094177D">
      <w:pPr>
        <w:pStyle w:val="Heading3"/>
        <w:spacing w:before="0" w:beforeAutospacing="0" w:after="0" w:afterAutospacing="0"/>
        <w:rPr>
          <w:b w:val="0"/>
          <w:sz w:val="22"/>
        </w:rPr>
      </w:pPr>
    </w:p>
    <w:p w:rsidR="002C66A0" w:rsidRPr="002C66A0" w:rsidRDefault="002C66A0" w:rsidP="0094177D">
      <w:pPr>
        <w:pStyle w:val="Heading3"/>
        <w:spacing w:before="0" w:beforeAutospacing="0" w:after="0" w:afterAutospacing="0"/>
        <w:ind w:left="288"/>
        <w:rPr>
          <w:sz w:val="24"/>
          <w:szCs w:val="24"/>
        </w:rPr>
      </w:pPr>
      <w:r w:rsidRPr="002C66A0">
        <w:rPr>
          <w:sz w:val="24"/>
          <w:szCs w:val="24"/>
        </w:rPr>
        <w:t xml:space="preserve">2.  Criteria and Standards </w:t>
      </w:r>
    </w:p>
    <w:p w:rsidR="002C66A0" w:rsidRPr="008C25D0" w:rsidRDefault="002C66A0" w:rsidP="0094177D">
      <w:pPr>
        <w:pStyle w:val="Heading3"/>
        <w:spacing w:before="0" w:beforeAutospacing="0" w:after="0" w:afterAutospacing="0"/>
        <w:rPr>
          <w:b w:val="0"/>
          <w:sz w:val="22"/>
        </w:rPr>
      </w:pPr>
    </w:p>
    <w:p w:rsidR="002C66A0" w:rsidRPr="00887FE4" w:rsidRDefault="002C66A0" w:rsidP="0094177D">
      <w:pPr>
        <w:pStyle w:val="Heading3"/>
        <w:spacing w:before="0" w:beforeAutospacing="0" w:after="0" w:afterAutospacing="0"/>
        <w:ind w:left="288"/>
        <w:rPr>
          <w:b w:val="0"/>
          <w:sz w:val="22"/>
        </w:rPr>
      </w:pPr>
      <w:r w:rsidRPr="008C25D0">
        <w:rPr>
          <w:b w:val="0"/>
          <w:sz w:val="22"/>
        </w:rPr>
        <w:t>The general criteria and standards are similar to those developed for eligibility for promotion to full professor</w:t>
      </w:r>
      <w:r w:rsidR="00E014C2">
        <w:rPr>
          <w:b w:val="0"/>
          <w:sz w:val="22"/>
        </w:rPr>
        <w:t xml:space="preserve">.  </w:t>
      </w:r>
      <w:r w:rsidR="00975ED2" w:rsidRPr="00E014C2">
        <w:rPr>
          <w:b w:val="0"/>
          <w:sz w:val="22"/>
        </w:rPr>
        <w:t>C</w:t>
      </w:r>
      <w:r w:rsidRPr="008C25D0">
        <w:rPr>
          <w:b w:val="0"/>
          <w:sz w:val="22"/>
        </w:rPr>
        <w:t xml:space="preserve">andidates for the Professorial Performance Award are not eligible until six years have passed since </w:t>
      </w:r>
      <w:r w:rsidR="00D86733" w:rsidRPr="00E014C2">
        <w:rPr>
          <w:b w:val="0"/>
          <w:sz w:val="22"/>
        </w:rPr>
        <w:t>their most recent p</w:t>
      </w:r>
      <w:r w:rsidR="00975ED2" w:rsidRPr="00E014C2">
        <w:rPr>
          <w:b w:val="0"/>
          <w:sz w:val="22"/>
        </w:rPr>
        <w:t>romotion to full</w:t>
      </w:r>
      <w:r w:rsidR="00D86733" w:rsidRPr="00E014C2">
        <w:rPr>
          <w:b w:val="0"/>
          <w:sz w:val="22"/>
        </w:rPr>
        <w:t xml:space="preserve"> professor</w:t>
      </w:r>
      <w:r w:rsidR="00975ED2" w:rsidRPr="00E014C2">
        <w:rPr>
          <w:b w:val="0"/>
          <w:sz w:val="22"/>
        </w:rPr>
        <w:t xml:space="preserve"> or</w:t>
      </w:r>
      <w:r w:rsidR="00975ED2">
        <w:rPr>
          <w:b w:val="0"/>
          <w:sz w:val="22"/>
        </w:rPr>
        <w:t xml:space="preserve"> </w:t>
      </w:r>
      <w:r w:rsidRPr="008C25D0">
        <w:rPr>
          <w:b w:val="0"/>
          <w:sz w:val="22"/>
        </w:rPr>
        <w:t xml:space="preserve">their last </w:t>
      </w:r>
      <w:r w:rsidR="0050495C">
        <w:rPr>
          <w:b w:val="0"/>
          <w:sz w:val="22"/>
        </w:rPr>
        <w:t>P</w:t>
      </w:r>
      <w:r w:rsidR="00B809EB">
        <w:rPr>
          <w:b w:val="0"/>
          <w:sz w:val="22"/>
        </w:rPr>
        <w:t xml:space="preserve">rofessorial </w:t>
      </w:r>
      <w:r w:rsidR="0050495C">
        <w:rPr>
          <w:b w:val="0"/>
          <w:sz w:val="22"/>
        </w:rPr>
        <w:t>P</w:t>
      </w:r>
      <w:r w:rsidR="00B809EB">
        <w:rPr>
          <w:b w:val="0"/>
          <w:sz w:val="22"/>
        </w:rPr>
        <w:t xml:space="preserve">erformance </w:t>
      </w:r>
      <w:r w:rsidR="0050495C">
        <w:rPr>
          <w:b w:val="0"/>
          <w:sz w:val="22"/>
        </w:rPr>
        <w:lastRenderedPageBreak/>
        <w:t>A</w:t>
      </w:r>
      <w:r w:rsidRPr="008C25D0">
        <w:rPr>
          <w:b w:val="0"/>
          <w:sz w:val="22"/>
        </w:rPr>
        <w:t>ward, whereas the promotion to full professor is not based on a specific time frame.</w:t>
      </w:r>
      <w:r w:rsidRPr="008C25D0">
        <w:rPr>
          <w:sz w:val="22"/>
        </w:rPr>
        <w:t xml:space="preserve">  </w:t>
      </w:r>
      <w:r w:rsidR="00887FE4" w:rsidRPr="00E014C2">
        <w:rPr>
          <w:b w:val="0"/>
          <w:sz w:val="22"/>
        </w:rPr>
        <w:t xml:space="preserve">Furthermore, only years in the Management Department at </w:t>
      </w:r>
      <w:r w:rsidR="00EF440C">
        <w:rPr>
          <w:b w:val="0"/>
          <w:sz w:val="22"/>
        </w:rPr>
        <w:t>K-State</w:t>
      </w:r>
      <w:r w:rsidR="00887FE4" w:rsidRPr="00E014C2">
        <w:rPr>
          <w:b w:val="0"/>
          <w:sz w:val="22"/>
        </w:rPr>
        <w:t xml:space="preserve"> will be used in determining eligibility and evaluating a candidate for th</w:t>
      </w:r>
      <w:r w:rsidR="009D7544" w:rsidRPr="00E014C2">
        <w:rPr>
          <w:b w:val="0"/>
          <w:sz w:val="22"/>
        </w:rPr>
        <w:t>e Professorial Performance A</w:t>
      </w:r>
      <w:r w:rsidR="00887FE4" w:rsidRPr="00E014C2">
        <w:rPr>
          <w:b w:val="0"/>
          <w:sz w:val="22"/>
        </w:rPr>
        <w:t>ward.</w:t>
      </w:r>
    </w:p>
    <w:p w:rsidR="002C66A0" w:rsidRPr="008C25D0" w:rsidRDefault="002C66A0" w:rsidP="0094177D">
      <w:pPr>
        <w:pStyle w:val="Heading3"/>
        <w:spacing w:before="0" w:beforeAutospacing="0" w:after="0" w:afterAutospacing="0"/>
        <w:rPr>
          <w:b w:val="0"/>
          <w:sz w:val="22"/>
        </w:rPr>
      </w:pPr>
    </w:p>
    <w:p w:rsidR="002C66A0" w:rsidRPr="008C25D0" w:rsidRDefault="002C66A0" w:rsidP="00F80854">
      <w:pPr>
        <w:ind w:left="288"/>
        <w:rPr>
          <w:b/>
          <w:sz w:val="22"/>
        </w:rPr>
      </w:pPr>
      <w:r w:rsidRPr="008C25D0">
        <w:rPr>
          <w:b/>
          <w:sz w:val="22"/>
        </w:rPr>
        <w:t>(1)</w:t>
      </w:r>
      <w:r w:rsidRPr="008C25D0">
        <w:rPr>
          <w:b/>
          <w:sz w:val="22"/>
        </w:rPr>
        <w:tab/>
        <w:t xml:space="preserve">Teaching </w:t>
      </w:r>
    </w:p>
    <w:p w:rsidR="002C66A0" w:rsidRPr="008C25D0" w:rsidRDefault="002C66A0" w:rsidP="00F80854">
      <w:pPr>
        <w:ind w:left="288"/>
        <w:rPr>
          <w:sz w:val="22"/>
        </w:rPr>
      </w:pPr>
    </w:p>
    <w:p w:rsidR="002C66A0" w:rsidRPr="008C25D0" w:rsidRDefault="002C66A0" w:rsidP="00F80854">
      <w:pPr>
        <w:ind w:left="288"/>
        <w:rPr>
          <w:sz w:val="22"/>
          <w:szCs w:val="22"/>
        </w:rPr>
      </w:pPr>
      <w:r w:rsidRPr="008C25D0">
        <w:rPr>
          <w:sz w:val="22"/>
        </w:rPr>
        <w:t xml:space="preserve">The component of the portfolio dealing with teaching should provide evidence of continued teaching excellence and development.  This level will be reflected in teaching evaluations, course syllabi and other instructional materials, teaching awards and other recognition of teaching excellence, and other </w:t>
      </w:r>
      <w:r w:rsidRPr="008C25D0">
        <w:rPr>
          <w:sz w:val="22"/>
          <w:szCs w:val="22"/>
        </w:rPr>
        <w:t xml:space="preserve">instructional activity. (See more examples provided in Appendix 2, Table A.) </w:t>
      </w:r>
    </w:p>
    <w:p w:rsidR="002C66A0" w:rsidRPr="008C25D0" w:rsidRDefault="002C66A0" w:rsidP="00F80854">
      <w:pPr>
        <w:ind w:left="288"/>
        <w:rPr>
          <w:sz w:val="22"/>
        </w:rPr>
      </w:pPr>
    </w:p>
    <w:p w:rsidR="002C66A0" w:rsidRPr="008C25D0" w:rsidRDefault="002C66A0" w:rsidP="00F80854">
      <w:pPr>
        <w:ind w:left="288"/>
        <w:rPr>
          <w:b/>
          <w:sz w:val="22"/>
        </w:rPr>
      </w:pPr>
      <w:r w:rsidRPr="008C25D0">
        <w:rPr>
          <w:b/>
          <w:sz w:val="22"/>
        </w:rPr>
        <w:t>(2)</w:t>
      </w:r>
      <w:r w:rsidRPr="008C25D0">
        <w:rPr>
          <w:b/>
          <w:sz w:val="22"/>
        </w:rPr>
        <w:tab/>
        <w:t xml:space="preserve">Research </w:t>
      </w:r>
    </w:p>
    <w:p w:rsidR="002C66A0" w:rsidRPr="008C25D0" w:rsidRDefault="002C66A0" w:rsidP="00F80854">
      <w:pPr>
        <w:ind w:left="288"/>
        <w:rPr>
          <w:sz w:val="22"/>
        </w:rPr>
      </w:pPr>
    </w:p>
    <w:p w:rsidR="002C66A0" w:rsidRPr="008C25D0" w:rsidRDefault="002C66A0" w:rsidP="00F80854">
      <w:pPr>
        <w:pStyle w:val="BodyTextIndent2"/>
        <w:ind w:left="288"/>
        <w:rPr>
          <w:szCs w:val="22"/>
        </w:rPr>
      </w:pPr>
      <w:r w:rsidRPr="008C25D0">
        <w:rPr>
          <w:szCs w:val="22"/>
        </w:rPr>
        <w:t xml:space="preserve">The component of the portfolio dealing with research activities should provide solid evidence that the candidate has </w:t>
      </w:r>
      <w:r w:rsidR="00887FE4" w:rsidRPr="00E014C2">
        <w:rPr>
          <w:szCs w:val="22"/>
        </w:rPr>
        <w:t xml:space="preserve">enhanced </w:t>
      </w:r>
      <w:r w:rsidR="00AA4583">
        <w:rPr>
          <w:szCs w:val="22"/>
        </w:rPr>
        <w:t xml:space="preserve">his or her </w:t>
      </w:r>
      <w:r w:rsidRPr="008C25D0">
        <w:rPr>
          <w:szCs w:val="22"/>
        </w:rPr>
        <w:t>national or international reputation within an area related to his</w:t>
      </w:r>
      <w:r w:rsidR="00A52E47">
        <w:rPr>
          <w:szCs w:val="22"/>
        </w:rPr>
        <w:t xml:space="preserve"> or </w:t>
      </w:r>
      <w:r w:rsidRPr="008C25D0">
        <w:rPr>
          <w:szCs w:val="22"/>
        </w:rPr>
        <w:t>her field of appointment and that the candidate has assumed a leadership role in significant research activities.</w:t>
      </w:r>
      <w:r w:rsidR="001E79A2">
        <w:rPr>
          <w:szCs w:val="22"/>
        </w:rPr>
        <w:t xml:space="preserve"> </w:t>
      </w:r>
      <w:r w:rsidRPr="008C25D0">
        <w:rPr>
          <w:szCs w:val="22"/>
        </w:rPr>
        <w:t>In general, single-authored or first-authored works are strong evidence of the ability to lead research efforts.  In addition, invited articles, research awards at the national or international level, professional recognition of scholarship, fellowships awarded from external entities, invitations to reprint articles, citation lists</w:t>
      </w:r>
      <w:r w:rsidR="00A52E47">
        <w:rPr>
          <w:szCs w:val="22"/>
        </w:rPr>
        <w:t>,</w:t>
      </w:r>
      <w:r w:rsidRPr="008C25D0">
        <w:rPr>
          <w:szCs w:val="22"/>
        </w:rPr>
        <w:t xml:space="preserve"> and other scholarly activity will be considered as evidence of national or international reputation. (</w:t>
      </w:r>
      <w:r w:rsidRPr="008C25D0">
        <w:t>See more examples provided in Appendix 2, Table B.)</w:t>
      </w:r>
      <w:r w:rsidR="001E79A2">
        <w:rPr>
          <w:szCs w:val="22"/>
        </w:rPr>
        <w:t xml:space="preserve"> </w:t>
      </w:r>
      <w:r w:rsidRPr="008C25D0">
        <w:rPr>
          <w:szCs w:val="22"/>
        </w:rPr>
        <w:t xml:space="preserve">The candidate must demonstrate a pattern of productivity (both quantity and quality) that is consistent with the Department’s expectations imposed for the promotion to </w:t>
      </w:r>
      <w:r w:rsidR="00E84C07">
        <w:rPr>
          <w:szCs w:val="22"/>
        </w:rPr>
        <w:t>full p</w:t>
      </w:r>
      <w:r w:rsidRPr="008C25D0">
        <w:rPr>
          <w:szCs w:val="22"/>
        </w:rPr>
        <w:t xml:space="preserve">rofessor. Candidates are also expected to have made efforts to garner extramural support for their research efforts. Submitting proposals and gaining external funds that contribute to the goals of the Department and </w:t>
      </w:r>
      <w:r w:rsidR="00A52E47">
        <w:t>College of Business Administration</w:t>
      </w:r>
      <w:r w:rsidRPr="008C25D0">
        <w:rPr>
          <w:szCs w:val="22"/>
        </w:rPr>
        <w:t xml:space="preserve"> will be positively weighted.</w:t>
      </w:r>
    </w:p>
    <w:p w:rsidR="002C66A0" w:rsidRPr="008C25D0" w:rsidRDefault="002C66A0" w:rsidP="00F80854">
      <w:pPr>
        <w:ind w:left="288"/>
        <w:rPr>
          <w:sz w:val="22"/>
        </w:rPr>
      </w:pPr>
    </w:p>
    <w:p w:rsidR="002C66A0" w:rsidRPr="008C25D0" w:rsidRDefault="002C66A0" w:rsidP="00F80854">
      <w:pPr>
        <w:ind w:left="288"/>
        <w:rPr>
          <w:b/>
          <w:sz w:val="22"/>
        </w:rPr>
      </w:pPr>
      <w:r w:rsidRPr="008C25D0">
        <w:rPr>
          <w:b/>
          <w:sz w:val="22"/>
        </w:rPr>
        <w:t>(3)</w:t>
      </w:r>
      <w:r w:rsidRPr="008C25D0">
        <w:rPr>
          <w:b/>
          <w:sz w:val="22"/>
        </w:rPr>
        <w:tab/>
        <w:t xml:space="preserve">Service </w:t>
      </w:r>
    </w:p>
    <w:p w:rsidR="002C66A0" w:rsidRPr="008C25D0" w:rsidRDefault="002C66A0" w:rsidP="00F80854">
      <w:pPr>
        <w:ind w:left="288"/>
        <w:rPr>
          <w:sz w:val="22"/>
        </w:rPr>
      </w:pPr>
    </w:p>
    <w:p w:rsidR="002C66A0" w:rsidRPr="008C25D0" w:rsidRDefault="002C66A0" w:rsidP="00F80854">
      <w:pPr>
        <w:ind w:left="288"/>
        <w:rPr>
          <w:sz w:val="22"/>
          <w:szCs w:val="22"/>
        </w:rPr>
      </w:pPr>
      <w:r w:rsidRPr="008C25D0">
        <w:rPr>
          <w:sz w:val="22"/>
        </w:rPr>
        <w:t xml:space="preserve">The component of the portfolio dealing with service and professional activity should provide evidence that the candidate has a consistent record of providing service and leadership on </w:t>
      </w:r>
      <w:r w:rsidR="00A52E47">
        <w:rPr>
          <w:sz w:val="22"/>
        </w:rPr>
        <w:t>d</w:t>
      </w:r>
      <w:r w:rsidR="00A52E47" w:rsidRPr="008C25D0">
        <w:rPr>
          <w:sz w:val="22"/>
        </w:rPr>
        <w:t>epartmental</w:t>
      </w:r>
      <w:r w:rsidRPr="008C25D0">
        <w:rPr>
          <w:sz w:val="22"/>
        </w:rPr>
        <w:t xml:space="preserve">, </w:t>
      </w:r>
      <w:r w:rsidR="00A52E47">
        <w:rPr>
          <w:sz w:val="22"/>
        </w:rPr>
        <w:t>c</w:t>
      </w:r>
      <w:r w:rsidR="00A52E47" w:rsidRPr="008C25D0">
        <w:rPr>
          <w:sz w:val="22"/>
        </w:rPr>
        <w:t>ollege</w:t>
      </w:r>
      <w:r w:rsidRPr="008C25D0">
        <w:rPr>
          <w:sz w:val="22"/>
        </w:rPr>
        <w:t xml:space="preserve">, and </w:t>
      </w:r>
      <w:r w:rsidR="00A52E47">
        <w:rPr>
          <w:sz w:val="22"/>
        </w:rPr>
        <w:t>u</w:t>
      </w:r>
      <w:r w:rsidR="00A52E47" w:rsidRPr="008C25D0">
        <w:rPr>
          <w:sz w:val="22"/>
        </w:rPr>
        <w:t xml:space="preserve">niversity </w:t>
      </w:r>
      <w:r w:rsidRPr="008C25D0">
        <w:rPr>
          <w:sz w:val="22"/>
        </w:rPr>
        <w:t>committees, and service to external professional entities. The need for shared governance and continuous improvement in our collective teaching and research efforts depend</w:t>
      </w:r>
      <w:r w:rsidR="00A52E47">
        <w:rPr>
          <w:sz w:val="22"/>
        </w:rPr>
        <w:t>s</w:t>
      </w:r>
      <w:r w:rsidRPr="008C25D0">
        <w:rPr>
          <w:sz w:val="22"/>
        </w:rPr>
        <w:t xml:space="preserve"> heavily on senior faculty. Candidates for the </w:t>
      </w:r>
      <w:r w:rsidR="00E84C07">
        <w:rPr>
          <w:sz w:val="22"/>
        </w:rPr>
        <w:t>P</w:t>
      </w:r>
      <w:r w:rsidRPr="008C25D0">
        <w:rPr>
          <w:sz w:val="22"/>
        </w:rPr>
        <w:t xml:space="preserve">rofessorial </w:t>
      </w:r>
      <w:r w:rsidR="00E84C07">
        <w:rPr>
          <w:sz w:val="22"/>
        </w:rPr>
        <w:t>P</w:t>
      </w:r>
      <w:r w:rsidRPr="008C25D0">
        <w:rPr>
          <w:sz w:val="22"/>
        </w:rPr>
        <w:t xml:space="preserve">erformance </w:t>
      </w:r>
      <w:r w:rsidR="00E84C07">
        <w:rPr>
          <w:sz w:val="22"/>
        </w:rPr>
        <w:t>A</w:t>
      </w:r>
      <w:r w:rsidRPr="008C25D0">
        <w:rPr>
          <w:sz w:val="22"/>
        </w:rPr>
        <w:t xml:space="preserve">ward need to demonstrate that they will continue to contribute to requisite institution-building efforts. Effective interaction with and </w:t>
      </w:r>
      <w:r w:rsidRPr="008C25D0">
        <w:rPr>
          <w:sz w:val="22"/>
          <w:szCs w:val="22"/>
        </w:rPr>
        <w:t>mentoring of junior faculty will also be considered</w:t>
      </w:r>
      <w:r w:rsidR="00A20F72">
        <w:rPr>
          <w:sz w:val="22"/>
          <w:szCs w:val="22"/>
        </w:rPr>
        <w:t xml:space="preserve"> part of the service component</w:t>
      </w:r>
      <w:r w:rsidRPr="008C25D0">
        <w:rPr>
          <w:sz w:val="22"/>
          <w:szCs w:val="22"/>
        </w:rPr>
        <w:t>. (See more examples provided in Appendix 2, Table C.)</w:t>
      </w:r>
    </w:p>
    <w:p w:rsidR="00A41E12" w:rsidRDefault="00A41E12" w:rsidP="00A41E12">
      <w:pPr>
        <w:ind w:left="288"/>
        <w:rPr>
          <w:sz w:val="22"/>
        </w:rPr>
      </w:pPr>
    </w:p>
    <w:p w:rsidR="004A34D2" w:rsidRPr="008C25D0" w:rsidRDefault="004A34D2" w:rsidP="00BD5BE5">
      <w:pPr>
        <w:ind w:left="270"/>
        <w:rPr>
          <w:b/>
          <w:sz w:val="22"/>
        </w:rPr>
      </w:pPr>
      <w:r w:rsidRPr="008C25D0">
        <w:rPr>
          <w:b/>
          <w:sz w:val="22"/>
        </w:rPr>
        <w:t>Note on Collegiality</w:t>
      </w:r>
    </w:p>
    <w:p w:rsidR="004A34D2" w:rsidRPr="008C25D0" w:rsidRDefault="004A34D2" w:rsidP="00BD5BE5">
      <w:pPr>
        <w:ind w:left="270"/>
        <w:rPr>
          <w:sz w:val="22"/>
        </w:rPr>
      </w:pPr>
    </w:p>
    <w:p w:rsidR="004A34D2" w:rsidRDefault="004A34D2" w:rsidP="00BD5BE5">
      <w:pPr>
        <w:ind w:left="270"/>
        <w:rPr>
          <w:sz w:val="22"/>
        </w:rPr>
      </w:pPr>
      <w:r w:rsidRPr="008C25D0">
        <w:rPr>
          <w:sz w:val="22"/>
        </w:rPr>
        <w:t>In addition to the research, teaching and service components of the portfolio, collegiality will be explicitly considered in making all promotion decisions.</w:t>
      </w:r>
      <w:r w:rsidR="00034FD0">
        <w:rPr>
          <w:sz w:val="22"/>
        </w:rPr>
        <w:t xml:space="preserve"> </w:t>
      </w:r>
      <w:r w:rsidRPr="008C25D0">
        <w:rPr>
          <w:sz w:val="22"/>
        </w:rPr>
        <w:t>Minor interpersonal style issues that do not affect mission-related contributions will not be considered, nor will professional or philosophical differences enter into this decision.</w:t>
      </w:r>
      <w:r w:rsidR="00034FD0">
        <w:rPr>
          <w:sz w:val="22"/>
        </w:rPr>
        <w:t xml:space="preserve"> </w:t>
      </w:r>
      <w:r w:rsidRPr="008C25D0">
        <w:rPr>
          <w:sz w:val="22"/>
        </w:rPr>
        <w:t>The Department of Management encourages a wide set of perspectives on various academic issues and encourages free thought, vigorous debate and expression of these views in a professional manner.</w:t>
      </w:r>
      <w:r w:rsidR="00034FD0">
        <w:rPr>
          <w:sz w:val="22"/>
        </w:rPr>
        <w:t xml:space="preserve"> </w:t>
      </w:r>
      <w:r w:rsidRPr="008C25D0">
        <w:rPr>
          <w:sz w:val="22"/>
        </w:rPr>
        <w:t>Relevant collegiality factors include interpersonal integrity, adherence to professional ethics, effective management of disagreement and conflict, cooperation, generosity in intellectual resources</w:t>
      </w:r>
      <w:r w:rsidR="00342526">
        <w:rPr>
          <w:sz w:val="22"/>
        </w:rPr>
        <w:t>,</w:t>
      </w:r>
      <w:r w:rsidRPr="008C25D0">
        <w:rPr>
          <w:sz w:val="22"/>
        </w:rPr>
        <w:t xml:space="preserve"> and mutual respect. Collegiality is fundamentally important to shared governance and the requirement for all faculty members to contribute in building a better institution and helping the Department and CBA collectively reach increasingly challenging goals and requirements.</w:t>
      </w:r>
    </w:p>
    <w:p w:rsidR="006E24B6" w:rsidRPr="002C66A0" w:rsidRDefault="006E24B6" w:rsidP="006E24B6">
      <w:pPr>
        <w:rPr>
          <w:b/>
          <w:sz w:val="24"/>
          <w:szCs w:val="24"/>
        </w:rPr>
      </w:pPr>
      <w:proofErr w:type="gramStart"/>
      <w:r w:rsidRPr="002C66A0">
        <w:rPr>
          <w:b/>
          <w:sz w:val="24"/>
          <w:szCs w:val="24"/>
        </w:rPr>
        <w:lastRenderedPageBreak/>
        <w:t>I.</w:t>
      </w:r>
      <w:r>
        <w:rPr>
          <w:b/>
          <w:sz w:val="24"/>
          <w:szCs w:val="24"/>
        </w:rPr>
        <w:t>C</w:t>
      </w:r>
      <w:r w:rsidRPr="002C66A0">
        <w:rPr>
          <w:b/>
          <w:sz w:val="24"/>
          <w:szCs w:val="24"/>
        </w:rPr>
        <w:t>.</w:t>
      </w:r>
      <w:proofErr w:type="gramEnd"/>
      <w:r w:rsidRPr="002C66A0">
        <w:rPr>
          <w:b/>
          <w:sz w:val="24"/>
          <w:szCs w:val="24"/>
        </w:rPr>
        <w:t xml:space="preserve">  </w:t>
      </w:r>
      <w:r>
        <w:rPr>
          <w:b/>
          <w:sz w:val="24"/>
          <w:szCs w:val="24"/>
        </w:rPr>
        <w:t xml:space="preserve">Chronic Low Achievement </w:t>
      </w:r>
    </w:p>
    <w:p w:rsidR="006E24B6" w:rsidRDefault="006E24B6" w:rsidP="006E24B6">
      <w:pPr>
        <w:tabs>
          <w:tab w:val="left" w:pos="360"/>
        </w:tabs>
        <w:rPr>
          <w:sz w:val="22"/>
        </w:rPr>
      </w:pPr>
    </w:p>
    <w:p w:rsidR="006E24B6" w:rsidRPr="008C25D0" w:rsidRDefault="006E24B6" w:rsidP="006E24B6">
      <w:pPr>
        <w:tabs>
          <w:tab w:val="left" w:pos="360"/>
        </w:tabs>
        <w:rPr>
          <w:sz w:val="22"/>
        </w:rPr>
      </w:pPr>
      <w:r w:rsidRPr="008C25D0">
        <w:rPr>
          <w:sz w:val="22"/>
        </w:rPr>
        <w:t xml:space="preserve">The following procedures and guidelines adhere to the provisions of Section C31.5 - C31.8 of the </w:t>
      </w:r>
      <w:r w:rsidR="00CC3F00">
        <w:rPr>
          <w:i/>
          <w:sz w:val="22"/>
        </w:rPr>
        <w:t>University Handbook</w:t>
      </w:r>
      <w:r w:rsidRPr="008C25D0">
        <w:rPr>
          <w:sz w:val="22"/>
        </w:rPr>
        <w:t xml:space="preserve"> regarding chronic low achievement standards as well as the procedures for enforcing these requirements.  </w:t>
      </w:r>
    </w:p>
    <w:p w:rsidR="006E24B6" w:rsidRDefault="006E24B6" w:rsidP="006E24B6">
      <w:pPr>
        <w:tabs>
          <w:tab w:val="left" w:pos="360"/>
        </w:tabs>
        <w:rPr>
          <w:b/>
          <w:sz w:val="24"/>
          <w:szCs w:val="24"/>
        </w:rPr>
      </w:pPr>
    </w:p>
    <w:p w:rsidR="006E24B6" w:rsidRPr="006E24B6" w:rsidRDefault="006E24B6" w:rsidP="0052080A">
      <w:pPr>
        <w:tabs>
          <w:tab w:val="left" w:pos="360"/>
        </w:tabs>
        <w:ind w:left="360"/>
        <w:rPr>
          <w:b/>
          <w:sz w:val="24"/>
          <w:szCs w:val="24"/>
        </w:rPr>
      </w:pPr>
      <w:r w:rsidRPr="006E24B6">
        <w:rPr>
          <w:b/>
          <w:sz w:val="24"/>
          <w:szCs w:val="24"/>
        </w:rPr>
        <w:t>1.   Procedures/Guidelines</w:t>
      </w:r>
    </w:p>
    <w:p w:rsidR="006E24B6" w:rsidRPr="008C25D0" w:rsidRDefault="006E24B6" w:rsidP="006E24B6">
      <w:pPr>
        <w:pStyle w:val="BodyTextIndent"/>
        <w:ind w:firstLine="0"/>
      </w:pPr>
    </w:p>
    <w:p w:rsidR="006E24B6" w:rsidRPr="008C25D0" w:rsidRDefault="006E24B6" w:rsidP="0052080A">
      <w:pPr>
        <w:pStyle w:val="BodyTextIndent"/>
        <w:tabs>
          <w:tab w:val="clear" w:pos="360"/>
        </w:tabs>
        <w:ind w:left="1080"/>
      </w:pPr>
      <w:r w:rsidRPr="008C25D0">
        <w:t>(1)</w:t>
      </w:r>
      <w:r w:rsidRPr="008C25D0">
        <w:tab/>
        <w:t xml:space="preserve">Section C31.5 of the </w:t>
      </w:r>
      <w:r w:rsidR="00CC3F00">
        <w:rPr>
          <w:i/>
        </w:rPr>
        <w:t>University Handbook</w:t>
      </w:r>
      <w:r w:rsidRPr="008C25D0">
        <w:t xml:space="preserve"> will be invoked if a </w:t>
      </w:r>
      <w:r w:rsidR="0089348A">
        <w:t xml:space="preserve">tenured </w:t>
      </w:r>
      <w:r w:rsidRPr="008C25D0">
        <w:t>faculty member is rated "unsatisfactory" in any one of the three areas under annual evaluation (research, teaching</w:t>
      </w:r>
      <w:r w:rsidR="00733734">
        <w:t>,</w:t>
      </w:r>
      <w:r w:rsidRPr="008C25D0">
        <w:t xml:space="preserve"> and service) in one evaluation period.</w:t>
      </w:r>
      <w:r w:rsidR="00034FD0">
        <w:t xml:space="preserve"> </w:t>
      </w:r>
      <w:r w:rsidRPr="008C25D0">
        <w:t>It should be noted that there may be special or extenuating circumstances for such performance deficiencies (e.g., illness, leave of absence, special assignment).</w:t>
      </w:r>
      <w:r w:rsidR="009F29C6">
        <w:t xml:space="preserve"> </w:t>
      </w:r>
      <w:r w:rsidRPr="008C25D0">
        <w:t xml:space="preserve">These should be fully examined and discussed prior to invoking the chronic low achievement policy.  </w:t>
      </w:r>
    </w:p>
    <w:p w:rsidR="006E24B6" w:rsidRPr="008C25D0" w:rsidRDefault="006E24B6" w:rsidP="0052080A">
      <w:pPr>
        <w:pStyle w:val="BodyTextIndent"/>
        <w:tabs>
          <w:tab w:val="clear" w:pos="360"/>
        </w:tabs>
        <w:ind w:left="1080"/>
      </w:pPr>
    </w:p>
    <w:p w:rsidR="006E24B6" w:rsidRPr="008C25D0" w:rsidRDefault="006E24B6" w:rsidP="0052080A">
      <w:pPr>
        <w:pStyle w:val="BodyTextIndent"/>
        <w:tabs>
          <w:tab w:val="clear" w:pos="360"/>
        </w:tabs>
        <w:ind w:left="1080"/>
      </w:pPr>
      <w:r w:rsidRPr="008C25D0">
        <w:t>(2)</w:t>
      </w:r>
      <w:r w:rsidRPr="008C25D0">
        <w:tab/>
        <w:t xml:space="preserve">The Department Head will provide written notification to the tenured faculty member at this time.  </w:t>
      </w:r>
    </w:p>
    <w:p w:rsidR="006E24B6" w:rsidRPr="008C25D0" w:rsidRDefault="006E24B6" w:rsidP="0052080A">
      <w:pPr>
        <w:pStyle w:val="BodyTextIndent"/>
        <w:tabs>
          <w:tab w:val="clear" w:pos="360"/>
        </w:tabs>
        <w:ind w:left="1080"/>
      </w:pPr>
    </w:p>
    <w:p w:rsidR="006E24B6" w:rsidRPr="008C25D0" w:rsidRDefault="006E24B6" w:rsidP="0052080A">
      <w:pPr>
        <w:pStyle w:val="BodyTextIndent"/>
        <w:tabs>
          <w:tab w:val="clear" w:pos="360"/>
        </w:tabs>
        <w:ind w:left="1080"/>
      </w:pPr>
      <w:r w:rsidRPr="008C25D0">
        <w:t>(3)</w:t>
      </w:r>
      <w:r w:rsidRPr="008C25D0">
        <w:tab/>
        <w:t>The Department Head and the faculty member will jointly develop a corrective action plan designed to improve the alleged deficiencies.</w:t>
      </w:r>
      <w:r w:rsidR="009F29C6">
        <w:t xml:space="preserve"> </w:t>
      </w:r>
      <w:r w:rsidRPr="008C25D0">
        <w:t>The plan must include specific expectations that are to be met and indicate what assistance (if any) will be offered in order to help remedy performance problems.</w:t>
      </w:r>
      <w:r w:rsidR="009F29C6">
        <w:t xml:space="preserve"> </w:t>
      </w:r>
      <w:r w:rsidRPr="008C25D0">
        <w:t>The purpose of the corrective action plan is to identify the means by which the faculty member will be able to exceed the minimum level of acceptable performance.</w:t>
      </w:r>
    </w:p>
    <w:p w:rsidR="006E24B6" w:rsidRPr="008C25D0" w:rsidRDefault="006E24B6" w:rsidP="0052080A">
      <w:pPr>
        <w:pStyle w:val="BodyTextIndent"/>
        <w:tabs>
          <w:tab w:val="clear" w:pos="360"/>
        </w:tabs>
        <w:ind w:left="1080"/>
      </w:pPr>
    </w:p>
    <w:p w:rsidR="006E24B6" w:rsidRPr="008C25D0" w:rsidRDefault="006E24B6" w:rsidP="0052080A">
      <w:pPr>
        <w:pStyle w:val="BodyTextIndent"/>
        <w:tabs>
          <w:tab w:val="clear" w:pos="360"/>
        </w:tabs>
        <w:ind w:left="1080"/>
      </w:pPr>
      <w:r w:rsidRPr="008C25D0">
        <w:t>(4)</w:t>
      </w:r>
      <w:r w:rsidRPr="008C25D0">
        <w:tab/>
        <w:t xml:space="preserve">In cases where disagreements arise as to the magnitude of the performance deficiency or the appropriate course of action that needs to be taken to improve performance, the tenured faculty of the Department will determine the appropriate resolution and finalize the corrective action plan. </w:t>
      </w:r>
    </w:p>
    <w:p w:rsidR="006E24B6" w:rsidRPr="008C25D0" w:rsidRDefault="006E24B6" w:rsidP="006E24B6">
      <w:pPr>
        <w:ind w:left="720"/>
        <w:rPr>
          <w:sz w:val="22"/>
        </w:rPr>
      </w:pPr>
    </w:p>
    <w:p w:rsidR="006E24B6" w:rsidRPr="008C25D0" w:rsidRDefault="006E24B6" w:rsidP="0052080A">
      <w:pPr>
        <w:pStyle w:val="BodyTextIndent"/>
        <w:tabs>
          <w:tab w:val="clear" w:pos="360"/>
        </w:tabs>
        <w:ind w:left="1080"/>
      </w:pPr>
      <w:r w:rsidRPr="008C25D0">
        <w:t>(5)</w:t>
      </w:r>
      <w:r w:rsidRPr="008C25D0">
        <w:tab/>
        <w:t>In the subsequent evaluation period (unless the faculty member under evaluation specifically requests otherwise), the Department Head will call a meeting of the tenured faculty for the purpose of assessing the faculty member's progress towards an acceptable level of performance in each category.  Based on the results of this meeting, the Department Head shall prepare a written report that provides an assessment of the faculty member's success in meeting minimum acceptable standards of performance.</w:t>
      </w:r>
      <w:r w:rsidR="00034FD0">
        <w:t xml:space="preserve"> </w:t>
      </w:r>
      <w:r w:rsidRPr="008C25D0">
        <w:t xml:space="preserve">At the Department </w:t>
      </w:r>
      <w:r w:rsidR="0091125A">
        <w:t>H</w:t>
      </w:r>
      <w:r w:rsidR="0091125A" w:rsidRPr="008C25D0">
        <w:t xml:space="preserve">ead’s </w:t>
      </w:r>
      <w:r w:rsidRPr="008C25D0">
        <w:t>discretion, the report may note acceptable progress towards meeting minimum standards even if those standards have not yet been achieved.</w:t>
      </w:r>
    </w:p>
    <w:p w:rsidR="006E24B6" w:rsidRPr="008C25D0" w:rsidRDefault="006E24B6" w:rsidP="0052080A">
      <w:pPr>
        <w:ind w:left="1080"/>
        <w:rPr>
          <w:sz w:val="22"/>
        </w:rPr>
      </w:pPr>
    </w:p>
    <w:p w:rsidR="006E24B6" w:rsidRPr="008C25D0" w:rsidRDefault="006E24B6" w:rsidP="0052080A">
      <w:pPr>
        <w:ind w:left="1080" w:hanging="360"/>
        <w:rPr>
          <w:sz w:val="22"/>
        </w:rPr>
      </w:pPr>
      <w:r w:rsidRPr="008C25D0">
        <w:rPr>
          <w:sz w:val="22"/>
        </w:rPr>
        <w:t>(6)</w:t>
      </w:r>
      <w:r w:rsidRPr="008C25D0">
        <w:rPr>
          <w:sz w:val="22"/>
        </w:rPr>
        <w:tab/>
        <w:t>The Department Head will provide a copy of the assessment to the faculty member and will explain any further actions suggested by the tenured faculty.</w:t>
      </w:r>
    </w:p>
    <w:p w:rsidR="006E24B6" w:rsidRPr="008C25D0" w:rsidRDefault="006E24B6" w:rsidP="0052080A">
      <w:pPr>
        <w:ind w:left="1080"/>
        <w:rPr>
          <w:sz w:val="22"/>
        </w:rPr>
      </w:pPr>
    </w:p>
    <w:p w:rsidR="006E24B6" w:rsidRPr="008C25D0" w:rsidRDefault="006E24B6" w:rsidP="0052080A">
      <w:pPr>
        <w:pStyle w:val="BodyTextIndent"/>
        <w:tabs>
          <w:tab w:val="clear" w:pos="360"/>
        </w:tabs>
        <w:ind w:left="1080"/>
      </w:pPr>
      <w:r w:rsidRPr="008C25D0">
        <w:t>(7)</w:t>
      </w:r>
      <w:r w:rsidRPr="008C25D0">
        <w:tab/>
        <w:t>If the faculty member has two successive evaluations or a total of three evaluations in a 5</w:t>
      </w:r>
      <w:r w:rsidR="00963E6B">
        <w:t>-</w:t>
      </w:r>
      <w:r w:rsidRPr="008C25D0">
        <w:t>year period in which the minimum standards are not met, then dismissal for cause will be considered at the discretion of the Dean.</w:t>
      </w:r>
      <w:r w:rsidR="00034FD0">
        <w:t xml:space="preserve"> </w:t>
      </w:r>
      <w:r w:rsidRPr="008C25D0">
        <w:t xml:space="preserve">The Department Head will notify the Dean of the faculty member’s performance relative to minimum standards each year.  </w:t>
      </w:r>
    </w:p>
    <w:p w:rsidR="006E24B6" w:rsidRPr="008C25D0" w:rsidRDefault="006E24B6" w:rsidP="006E24B6">
      <w:pPr>
        <w:rPr>
          <w:sz w:val="22"/>
        </w:rPr>
      </w:pPr>
    </w:p>
    <w:p w:rsidR="006E24B6" w:rsidRDefault="006E24B6" w:rsidP="006E24B6">
      <w:pPr>
        <w:rPr>
          <w:sz w:val="22"/>
        </w:rPr>
      </w:pPr>
    </w:p>
    <w:p w:rsidR="0089398B" w:rsidRDefault="0089398B" w:rsidP="006E24B6">
      <w:pPr>
        <w:rPr>
          <w:sz w:val="22"/>
        </w:rPr>
      </w:pPr>
    </w:p>
    <w:p w:rsidR="0089398B" w:rsidRPr="008C25D0" w:rsidRDefault="0089398B" w:rsidP="006E24B6">
      <w:pPr>
        <w:rPr>
          <w:sz w:val="22"/>
        </w:rPr>
      </w:pPr>
    </w:p>
    <w:p w:rsidR="006E24B6" w:rsidRPr="0052080A" w:rsidRDefault="006E24B6" w:rsidP="0052080A">
      <w:pPr>
        <w:tabs>
          <w:tab w:val="left" w:pos="720"/>
        </w:tabs>
        <w:ind w:left="360"/>
        <w:rPr>
          <w:b/>
          <w:sz w:val="24"/>
          <w:szCs w:val="24"/>
        </w:rPr>
      </w:pPr>
      <w:r w:rsidRPr="0052080A">
        <w:rPr>
          <w:b/>
          <w:sz w:val="24"/>
          <w:szCs w:val="24"/>
        </w:rPr>
        <w:lastRenderedPageBreak/>
        <w:t>2.  Minimum Acceptable Productivity Standards</w:t>
      </w:r>
    </w:p>
    <w:p w:rsidR="006E24B6" w:rsidRPr="008C25D0" w:rsidRDefault="006E24B6" w:rsidP="006E24B6">
      <w:pPr>
        <w:tabs>
          <w:tab w:val="left" w:pos="360"/>
        </w:tabs>
        <w:rPr>
          <w:b/>
          <w:sz w:val="22"/>
        </w:rPr>
      </w:pPr>
    </w:p>
    <w:p w:rsidR="0052080A" w:rsidRDefault="006E24B6" w:rsidP="006E24B6">
      <w:pPr>
        <w:pStyle w:val="BodyText"/>
        <w:ind w:left="360"/>
      </w:pPr>
      <w:r w:rsidRPr="008C25D0">
        <w:t>The following represent the Department's chronic low achievement standards for productivity in each of three areas: teaching, research</w:t>
      </w:r>
      <w:r w:rsidR="00733734">
        <w:rPr>
          <w:lang w:val="en-US"/>
        </w:rPr>
        <w:t>,</w:t>
      </w:r>
      <w:r w:rsidRPr="008C25D0">
        <w:t xml:space="preserve"> and service. </w:t>
      </w:r>
    </w:p>
    <w:p w:rsidR="006E24B6" w:rsidRPr="008C25D0" w:rsidRDefault="006E24B6" w:rsidP="006E24B6">
      <w:pPr>
        <w:pStyle w:val="BodyText"/>
        <w:ind w:left="360"/>
      </w:pPr>
      <w:r w:rsidRPr="008C25D0">
        <w:t xml:space="preserve"> </w:t>
      </w:r>
    </w:p>
    <w:p w:rsidR="006E24B6" w:rsidRPr="008C25D0" w:rsidRDefault="006E24B6" w:rsidP="0052080A">
      <w:pPr>
        <w:numPr>
          <w:ilvl w:val="0"/>
          <w:numId w:val="8"/>
        </w:numPr>
        <w:ind w:left="1080"/>
        <w:rPr>
          <w:b/>
          <w:sz w:val="22"/>
        </w:rPr>
      </w:pPr>
      <w:r w:rsidRPr="008C25D0">
        <w:rPr>
          <w:b/>
          <w:sz w:val="22"/>
        </w:rPr>
        <w:t>Teaching</w:t>
      </w:r>
    </w:p>
    <w:p w:rsidR="006E24B6" w:rsidRPr="008C25D0" w:rsidRDefault="006E24B6" w:rsidP="006E24B6">
      <w:pPr>
        <w:pStyle w:val="BodyTextIndent2"/>
      </w:pPr>
    </w:p>
    <w:p w:rsidR="006E24B6" w:rsidRPr="008C25D0" w:rsidRDefault="006E24B6" w:rsidP="0052080A">
      <w:pPr>
        <w:pStyle w:val="BodyTextIndent2"/>
        <w:ind w:left="720"/>
      </w:pPr>
      <w:r w:rsidRPr="008C25D0">
        <w:t xml:space="preserve">As stated in the </w:t>
      </w:r>
      <w:r w:rsidR="00CC3F00">
        <w:rPr>
          <w:i/>
          <w:iCs/>
        </w:rPr>
        <w:t>University Handbook</w:t>
      </w:r>
      <w:r w:rsidRPr="008C25D0">
        <w:t xml:space="preserve"> Section C34.1</w:t>
      </w:r>
      <w:r w:rsidR="00B1522D">
        <w:t xml:space="preserve"> </w:t>
      </w:r>
      <w:r w:rsidRPr="008C25D0">
        <w:t>-</w:t>
      </w:r>
      <w:r w:rsidR="00B1522D">
        <w:t xml:space="preserve"> </w:t>
      </w:r>
      <w:r w:rsidRPr="008C25D0">
        <w:t>34.2, student ratings of teaching are but one indicator of teaching effectiveness, and should never be used as the only source of information about classroom teaching.</w:t>
      </w:r>
      <w:r w:rsidR="009F29C6">
        <w:t xml:space="preserve"> </w:t>
      </w:r>
      <w:r w:rsidRPr="008C25D0">
        <w:t>We believe, however, that when a faculty member consistently receives student ratings that indicate “dissatisfaction” with learning and classroom facilitation, there may be problems that are not being addressed.</w:t>
      </w:r>
      <w:r w:rsidR="009F29C6">
        <w:t xml:space="preserve"> </w:t>
      </w:r>
      <w:r w:rsidRPr="008C25D0">
        <w:t>TEVAL ratings below a 2.5 would indicate a strong level of dissatisfaction among students.</w:t>
      </w:r>
      <w:r w:rsidR="009F29C6">
        <w:t xml:space="preserve"> </w:t>
      </w:r>
      <w:r w:rsidRPr="008C25D0">
        <w:t>Thus, as one indicator of low achievement, the Department believes that the minimum acceptable adjusted TEVAL score should be 2.5.</w:t>
      </w:r>
      <w:r w:rsidR="009F29C6">
        <w:t xml:space="preserve"> </w:t>
      </w:r>
      <w:r w:rsidRPr="008C25D0">
        <w:t>This score is calculated by averaging the scores obtained for "overall teacher effectiveness" and "amount learned" across all the courses taught by the faculty member in a given year.</w:t>
      </w:r>
    </w:p>
    <w:p w:rsidR="006E24B6" w:rsidRPr="008C25D0" w:rsidRDefault="006E24B6" w:rsidP="006E24B6">
      <w:pPr>
        <w:pStyle w:val="BodyTextIndent2"/>
      </w:pPr>
    </w:p>
    <w:p w:rsidR="006E24B6" w:rsidRPr="008C25D0" w:rsidRDefault="006E24B6" w:rsidP="0052080A">
      <w:pPr>
        <w:pStyle w:val="BodyTextIndent2"/>
        <w:ind w:left="720"/>
      </w:pPr>
      <w:r w:rsidRPr="008C25D0">
        <w:t>There may be other sources of information that suggest evidence of student learning or teaching effectiveness.</w:t>
      </w:r>
      <w:r w:rsidR="009F29C6">
        <w:t xml:space="preserve"> </w:t>
      </w:r>
      <w:r w:rsidRPr="008C25D0">
        <w:t>In the event that the minimum acceptable TEVAL average is not obtained, the Department Head and the tenured faculty members shall examine other indicators of learning and effectiveness, as well as non-TEVAL indicators to determine whether they might have negatively affected this average.</w:t>
      </w:r>
      <w:r w:rsidR="009F29C6">
        <w:t xml:space="preserve"> </w:t>
      </w:r>
      <w:r w:rsidRPr="008C25D0">
        <w:t>These indicators include:</w:t>
      </w:r>
    </w:p>
    <w:p w:rsidR="006E24B6" w:rsidRPr="008C25D0" w:rsidRDefault="006E24B6" w:rsidP="0052080A">
      <w:pPr>
        <w:pStyle w:val="BodyTextIndent2"/>
        <w:ind w:left="1080" w:hanging="360"/>
      </w:pPr>
    </w:p>
    <w:p w:rsidR="006E24B6" w:rsidRPr="008C25D0" w:rsidRDefault="006E24B6" w:rsidP="0052080A">
      <w:pPr>
        <w:pStyle w:val="BodyTextIndent2"/>
        <w:ind w:left="1080" w:hanging="360"/>
      </w:pPr>
      <w:r w:rsidRPr="008C25D0">
        <w:t>(a)</w:t>
      </w:r>
      <w:r w:rsidRPr="008C25D0">
        <w:tab/>
        <w:t>Class characteristics such as size of class and type of class (lecture versus case oriented; required versus elective; etc.)</w:t>
      </w:r>
    </w:p>
    <w:p w:rsidR="006E24B6" w:rsidRPr="008C25D0" w:rsidRDefault="006E24B6" w:rsidP="0052080A">
      <w:pPr>
        <w:pStyle w:val="BodyTextIndent2"/>
        <w:ind w:left="1080" w:hanging="360"/>
      </w:pPr>
      <w:r w:rsidRPr="008C25D0">
        <w:t>(b)</w:t>
      </w:r>
      <w:r w:rsidRPr="008C25D0">
        <w:tab/>
        <w:t>New course preparation for the faculty member</w:t>
      </w:r>
    </w:p>
    <w:p w:rsidR="006E24B6" w:rsidRPr="008C25D0" w:rsidRDefault="006E24B6" w:rsidP="0052080A">
      <w:pPr>
        <w:pStyle w:val="BodyTextIndent2"/>
        <w:ind w:left="1080" w:hanging="360"/>
      </w:pPr>
      <w:r w:rsidRPr="008C25D0">
        <w:t>(c)</w:t>
      </w:r>
      <w:r w:rsidRPr="008C25D0">
        <w:tab/>
        <w:t>Grade distributions</w:t>
      </w:r>
    </w:p>
    <w:p w:rsidR="006E24B6" w:rsidRPr="008C25D0" w:rsidRDefault="006E24B6" w:rsidP="0052080A">
      <w:pPr>
        <w:pStyle w:val="BodyTextIndent2"/>
        <w:ind w:left="1080" w:hanging="360"/>
      </w:pPr>
      <w:r w:rsidRPr="008C25D0">
        <w:t>(d)</w:t>
      </w:r>
      <w:r w:rsidRPr="008C25D0">
        <w:tab/>
        <w:t>Overall quality of course materials: syllabi, exams, course notes, etc.</w:t>
      </w:r>
    </w:p>
    <w:p w:rsidR="006E24B6" w:rsidRPr="008C25D0" w:rsidRDefault="006E24B6" w:rsidP="0052080A">
      <w:pPr>
        <w:pStyle w:val="BodyTextIndent2"/>
        <w:ind w:left="1080" w:hanging="360"/>
      </w:pPr>
      <w:r w:rsidRPr="008C25D0">
        <w:t>(e)</w:t>
      </w:r>
      <w:r w:rsidRPr="008C25D0">
        <w:tab/>
        <w:t>Others issues such as participation in curriculum development, non-TEVAL student feedback, and, if deemed necessary, peer evaluation of the faculty member's instructional quality</w:t>
      </w:r>
    </w:p>
    <w:p w:rsidR="006E24B6" w:rsidRPr="008C25D0" w:rsidRDefault="006E24B6" w:rsidP="0052080A">
      <w:pPr>
        <w:ind w:left="1080" w:hanging="360"/>
        <w:rPr>
          <w:sz w:val="22"/>
        </w:rPr>
      </w:pPr>
    </w:p>
    <w:p w:rsidR="006E24B6" w:rsidRPr="008C25D0" w:rsidRDefault="006E24B6" w:rsidP="0052080A">
      <w:pPr>
        <w:numPr>
          <w:ilvl w:val="0"/>
          <w:numId w:val="8"/>
        </w:numPr>
        <w:tabs>
          <w:tab w:val="clear" w:pos="630"/>
          <w:tab w:val="num" w:pos="1080"/>
        </w:tabs>
        <w:ind w:left="1080"/>
        <w:rPr>
          <w:b/>
          <w:sz w:val="22"/>
        </w:rPr>
      </w:pPr>
      <w:r w:rsidRPr="008C25D0">
        <w:rPr>
          <w:b/>
          <w:sz w:val="22"/>
        </w:rPr>
        <w:t>Research</w:t>
      </w:r>
    </w:p>
    <w:p w:rsidR="006E24B6" w:rsidRPr="008C25D0" w:rsidRDefault="006E24B6" w:rsidP="006E24B6">
      <w:pPr>
        <w:ind w:left="360"/>
        <w:rPr>
          <w:b/>
          <w:sz w:val="22"/>
        </w:rPr>
      </w:pPr>
    </w:p>
    <w:p w:rsidR="006E24B6" w:rsidRPr="008C25D0" w:rsidRDefault="006E24B6" w:rsidP="0052080A">
      <w:pPr>
        <w:ind w:left="720"/>
        <w:rPr>
          <w:sz w:val="22"/>
        </w:rPr>
      </w:pPr>
      <w:r w:rsidRPr="008C25D0">
        <w:rPr>
          <w:sz w:val="22"/>
        </w:rPr>
        <w:t xml:space="preserve">Within a five-year window, including the current evaluation year, the faculty member should have at least two counts from </w:t>
      </w:r>
      <w:r w:rsidR="00C50998">
        <w:rPr>
          <w:sz w:val="22"/>
        </w:rPr>
        <w:t xml:space="preserve">any of </w:t>
      </w:r>
      <w:r w:rsidRPr="008C25D0">
        <w:rPr>
          <w:sz w:val="22"/>
        </w:rPr>
        <w:t>the following:</w:t>
      </w:r>
    </w:p>
    <w:p w:rsidR="006E24B6" w:rsidRPr="008C25D0" w:rsidRDefault="006E24B6" w:rsidP="0052080A">
      <w:pPr>
        <w:ind w:left="1080" w:hanging="360"/>
        <w:rPr>
          <w:sz w:val="22"/>
        </w:rPr>
      </w:pPr>
    </w:p>
    <w:p w:rsidR="006E24B6" w:rsidRPr="008C25D0" w:rsidRDefault="006E24B6" w:rsidP="0052080A">
      <w:pPr>
        <w:numPr>
          <w:ilvl w:val="1"/>
          <w:numId w:val="8"/>
        </w:numPr>
        <w:tabs>
          <w:tab w:val="clear" w:pos="1440"/>
        </w:tabs>
        <w:ind w:left="1080"/>
        <w:rPr>
          <w:sz w:val="22"/>
        </w:rPr>
      </w:pPr>
      <w:r w:rsidRPr="008C25D0">
        <w:rPr>
          <w:sz w:val="22"/>
        </w:rPr>
        <w:t>Refereed journal articles</w:t>
      </w:r>
    </w:p>
    <w:p w:rsidR="006E24B6" w:rsidRPr="008C25D0" w:rsidRDefault="006E24B6" w:rsidP="0052080A">
      <w:pPr>
        <w:numPr>
          <w:ilvl w:val="1"/>
          <w:numId w:val="8"/>
        </w:numPr>
        <w:tabs>
          <w:tab w:val="clear" w:pos="1440"/>
        </w:tabs>
        <w:ind w:left="1080"/>
        <w:rPr>
          <w:sz w:val="22"/>
        </w:rPr>
      </w:pPr>
      <w:r w:rsidRPr="008C25D0">
        <w:rPr>
          <w:sz w:val="22"/>
        </w:rPr>
        <w:t>Submission of extramural research funding</w:t>
      </w:r>
    </w:p>
    <w:p w:rsidR="006E24B6" w:rsidRPr="008C25D0" w:rsidRDefault="006E24B6" w:rsidP="0052080A">
      <w:pPr>
        <w:numPr>
          <w:ilvl w:val="1"/>
          <w:numId w:val="8"/>
        </w:numPr>
        <w:tabs>
          <w:tab w:val="clear" w:pos="1440"/>
        </w:tabs>
        <w:ind w:left="1080"/>
        <w:rPr>
          <w:sz w:val="22"/>
        </w:rPr>
      </w:pPr>
      <w:r w:rsidRPr="008C25D0">
        <w:rPr>
          <w:sz w:val="22"/>
        </w:rPr>
        <w:t>Refereed conference presentations or proceedings</w:t>
      </w:r>
    </w:p>
    <w:p w:rsidR="006E24B6" w:rsidRPr="008C25D0" w:rsidRDefault="006E24B6" w:rsidP="0052080A">
      <w:pPr>
        <w:numPr>
          <w:ilvl w:val="1"/>
          <w:numId w:val="8"/>
        </w:numPr>
        <w:tabs>
          <w:tab w:val="clear" w:pos="1440"/>
        </w:tabs>
        <w:ind w:left="1080"/>
        <w:rPr>
          <w:sz w:val="22"/>
        </w:rPr>
      </w:pPr>
      <w:r w:rsidRPr="008C25D0">
        <w:rPr>
          <w:sz w:val="22"/>
        </w:rPr>
        <w:t>Scholarly books</w:t>
      </w:r>
    </w:p>
    <w:p w:rsidR="006E24B6" w:rsidRPr="008C25D0" w:rsidRDefault="006E24B6" w:rsidP="0052080A">
      <w:pPr>
        <w:numPr>
          <w:ilvl w:val="1"/>
          <w:numId w:val="8"/>
        </w:numPr>
        <w:tabs>
          <w:tab w:val="clear" w:pos="1440"/>
        </w:tabs>
        <w:ind w:left="1080"/>
        <w:rPr>
          <w:sz w:val="22"/>
        </w:rPr>
      </w:pPr>
      <w:r w:rsidRPr="008C25D0">
        <w:rPr>
          <w:sz w:val="22"/>
        </w:rPr>
        <w:t xml:space="preserve">Book chapters, cases, or pedagogical materials included in a published book </w:t>
      </w:r>
    </w:p>
    <w:p w:rsidR="006E24B6" w:rsidRPr="008C25D0" w:rsidRDefault="006E24B6" w:rsidP="0052080A">
      <w:pPr>
        <w:numPr>
          <w:ilvl w:val="1"/>
          <w:numId w:val="8"/>
        </w:numPr>
        <w:tabs>
          <w:tab w:val="clear" w:pos="1440"/>
        </w:tabs>
        <w:ind w:left="1080"/>
        <w:rPr>
          <w:sz w:val="22"/>
        </w:rPr>
      </w:pPr>
      <w:r w:rsidRPr="008C25D0">
        <w:rPr>
          <w:sz w:val="22"/>
        </w:rPr>
        <w:t>Other scholarly works as denoted in Appendix 2 Table B.</w:t>
      </w:r>
    </w:p>
    <w:p w:rsidR="006E24B6" w:rsidRPr="008C25D0" w:rsidRDefault="006E24B6" w:rsidP="006E24B6">
      <w:pPr>
        <w:ind w:left="360"/>
        <w:rPr>
          <w:sz w:val="22"/>
        </w:rPr>
      </w:pPr>
    </w:p>
    <w:p w:rsidR="006E24B6" w:rsidRPr="008C25D0" w:rsidRDefault="006E24B6" w:rsidP="0052080A">
      <w:pPr>
        <w:numPr>
          <w:ilvl w:val="0"/>
          <w:numId w:val="8"/>
        </w:numPr>
        <w:tabs>
          <w:tab w:val="clear" w:pos="630"/>
          <w:tab w:val="num" w:pos="1080"/>
        </w:tabs>
        <w:ind w:left="1080"/>
        <w:rPr>
          <w:b/>
          <w:sz w:val="22"/>
        </w:rPr>
      </w:pPr>
      <w:r w:rsidRPr="008C25D0">
        <w:rPr>
          <w:b/>
          <w:sz w:val="22"/>
        </w:rPr>
        <w:t>Service</w:t>
      </w:r>
    </w:p>
    <w:p w:rsidR="006E24B6" w:rsidRPr="008C25D0" w:rsidRDefault="006E24B6" w:rsidP="006E24B6">
      <w:pPr>
        <w:ind w:left="360"/>
        <w:rPr>
          <w:b/>
          <w:sz w:val="22"/>
        </w:rPr>
      </w:pPr>
    </w:p>
    <w:p w:rsidR="00666A13" w:rsidRPr="0093281E" w:rsidRDefault="006E24B6" w:rsidP="0093281E">
      <w:pPr>
        <w:ind w:left="720"/>
        <w:rPr>
          <w:sz w:val="22"/>
        </w:rPr>
      </w:pPr>
      <w:r w:rsidRPr="0093281E">
        <w:rPr>
          <w:sz w:val="22"/>
        </w:rPr>
        <w:t xml:space="preserve">The faculty member should serve on at least one committee per year, with satisfactory performance to be determined by the committee chair.  </w:t>
      </w:r>
    </w:p>
    <w:p w:rsidR="00666A13" w:rsidRPr="0093281E" w:rsidRDefault="00666A13" w:rsidP="0093281E">
      <w:pPr>
        <w:ind w:left="720"/>
        <w:rPr>
          <w:sz w:val="22"/>
        </w:rPr>
      </w:pPr>
    </w:p>
    <w:p w:rsidR="00365416" w:rsidRDefault="00365416">
      <w:pPr>
        <w:jc w:val="center"/>
        <w:rPr>
          <w:b/>
          <w:sz w:val="28"/>
          <w:szCs w:val="28"/>
        </w:rPr>
      </w:pPr>
      <w:r w:rsidRPr="0052080A">
        <w:rPr>
          <w:b/>
          <w:sz w:val="28"/>
          <w:szCs w:val="28"/>
        </w:rPr>
        <w:lastRenderedPageBreak/>
        <w:t xml:space="preserve">II. </w:t>
      </w:r>
      <w:r w:rsidR="0052080A">
        <w:rPr>
          <w:b/>
          <w:sz w:val="28"/>
          <w:szCs w:val="28"/>
        </w:rPr>
        <w:t xml:space="preserve">DECISIONS CONCERNING PROMOTION, </w:t>
      </w:r>
      <w:r w:rsidRPr="0052080A">
        <w:rPr>
          <w:b/>
          <w:sz w:val="28"/>
          <w:szCs w:val="28"/>
        </w:rPr>
        <w:t>TENURE</w:t>
      </w:r>
      <w:r w:rsidR="00733734">
        <w:rPr>
          <w:b/>
          <w:sz w:val="28"/>
          <w:szCs w:val="28"/>
        </w:rPr>
        <w:t>,</w:t>
      </w:r>
    </w:p>
    <w:p w:rsidR="0052080A" w:rsidRPr="0052080A" w:rsidRDefault="0052080A">
      <w:pPr>
        <w:jc w:val="center"/>
        <w:rPr>
          <w:b/>
          <w:sz w:val="28"/>
          <w:szCs w:val="28"/>
        </w:rPr>
      </w:pPr>
      <w:r>
        <w:rPr>
          <w:b/>
          <w:sz w:val="28"/>
          <w:szCs w:val="28"/>
        </w:rPr>
        <w:t>MID-PROBATIONARY REVIEW, AND REAPPOINTMENT</w:t>
      </w:r>
    </w:p>
    <w:p w:rsidR="00365416" w:rsidRPr="008C25D0" w:rsidRDefault="00365416">
      <w:pPr>
        <w:rPr>
          <w:b/>
          <w:sz w:val="22"/>
        </w:rPr>
      </w:pPr>
    </w:p>
    <w:p w:rsidR="00365416" w:rsidRPr="008C25D0" w:rsidRDefault="00365416">
      <w:pPr>
        <w:pStyle w:val="BodyText"/>
      </w:pPr>
      <w:r w:rsidRPr="008C25D0">
        <w:t xml:space="preserve">General </w:t>
      </w:r>
      <w:r w:rsidR="00863D54">
        <w:rPr>
          <w:lang w:val="en-US"/>
        </w:rPr>
        <w:t>u</w:t>
      </w:r>
      <w:proofErr w:type="spellStart"/>
      <w:r w:rsidRPr="008C25D0">
        <w:t>niversity</w:t>
      </w:r>
      <w:proofErr w:type="spellEnd"/>
      <w:r w:rsidRPr="008C25D0">
        <w:t xml:space="preserve">-wide guidelines for the promotion and tenure process are provided in Sections C70-C158.3 of the </w:t>
      </w:r>
      <w:r w:rsidR="00CC3F00">
        <w:rPr>
          <w:i/>
        </w:rPr>
        <w:t>University Handbook</w:t>
      </w:r>
      <w:r w:rsidRPr="008C25D0">
        <w:t>.</w:t>
      </w:r>
      <w:r w:rsidR="009F29C6">
        <w:rPr>
          <w:lang w:val="en-US"/>
        </w:rPr>
        <w:t xml:space="preserve"> </w:t>
      </w:r>
      <w:r w:rsidRPr="008C25D0">
        <w:t>This section provides additional guidelines and criteria to facilitate these procedures within the Department.</w:t>
      </w:r>
      <w:r w:rsidR="009F29C6">
        <w:rPr>
          <w:lang w:val="en-US"/>
        </w:rPr>
        <w:t xml:space="preserve"> </w:t>
      </w:r>
      <w:r w:rsidR="00F35897">
        <w:t xml:space="preserve">This section also provides guidelines for decisions regarding mid-probationary review and reappointment.  </w:t>
      </w:r>
    </w:p>
    <w:p w:rsidR="00365416" w:rsidRPr="008C25D0" w:rsidRDefault="00365416">
      <w:pPr>
        <w:pStyle w:val="FootnoteText"/>
        <w:rPr>
          <w:sz w:val="22"/>
        </w:rPr>
      </w:pPr>
    </w:p>
    <w:p w:rsidR="00F35897" w:rsidRPr="00F35897" w:rsidRDefault="00365416">
      <w:pPr>
        <w:rPr>
          <w:b/>
          <w:sz w:val="24"/>
          <w:szCs w:val="24"/>
        </w:rPr>
      </w:pPr>
      <w:r w:rsidRPr="00F35897">
        <w:rPr>
          <w:b/>
          <w:sz w:val="24"/>
          <w:szCs w:val="24"/>
        </w:rPr>
        <w:t xml:space="preserve">II.A. </w:t>
      </w:r>
      <w:r w:rsidR="00F35897" w:rsidRPr="00F35897">
        <w:rPr>
          <w:b/>
          <w:sz w:val="24"/>
          <w:szCs w:val="24"/>
        </w:rPr>
        <w:t>Promotion and Tenure Decisions</w:t>
      </w:r>
    </w:p>
    <w:p w:rsidR="00F35897" w:rsidRDefault="00F35897">
      <w:pPr>
        <w:rPr>
          <w:b/>
          <w:sz w:val="22"/>
        </w:rPr>
      </w:pPr>
    </w:p>
    <w:p w:rsidR="00365416" w:rsidRPr="00F35897" w:rsidRDefault="00F35897" w:rsidP="00F35897">
      <w:pPr>
        <w:ind w:left="360"/>
        <w:rPr>
          <w:b/>
          <w:sz w:val="24"/>
          <w:szCs w:val="24"/>
        </w:rPr>
      </w:pPr>
      <w:r w:rsidRPr="00F35897">
        <w:rPr>
          <w:b/>
          <w:sz w:val="24"/>
          <w:szCs w:val="24"/>
        </w:rPr>
        <w:t xml:space="preserve">1.  </w:t>
      </w:r>
      <w:r w:rsidR="00365416" w:rsidRPr="00F35897">
        <w:rPr>
          <w:b/>
          <w:sz w:val="24"/>
          <w:szCs w:val="24"/>
        </w:rPr>
        <w:t xml:space="preserve">Procedures/Guidelines </w:t>
      </w:r>
    </w:p>
    <w:p w:rsidR="00365416" w:rsidRPr="008C25D0" w:rsidRDefault="00365416">
      <w:pPr>
        <w:rPr>
          <w:b/>
          <w:sz w:val="22"/>
        </w:rPr>
      </w:pPr>
    </w:p>
    <w:p w:rsidR="00365416" w:rsidRPr="008C25D0" w:rsidRDefault="00365416" w:rsidP="00F35897">
      <w:pPr>
        <w:pStyle w:val="Heading6"/>
        <w:ind w:left="360"/>
      </w:pPr>
      <w:r w:rsidRPr="008C25D0">
        <w:t>Promotion from Assistant Professor to Associate Professor with Tenure</w:t>
      </w:r>
    </w:p>
    <w:p w:rsidR="00365416" w:rsidRPr="008C25D0" w:rsidRDefault="00365416">
      <w:pPr>
        <w:rPr>
          <w:b/>
          <w:sz w:val="22"/>
        </w:rPr>
      </w:pPr>
    </w:p>
    <w:p w:rsidR="00365416" w:rsidRPr="00C50998" w:rsidRDefault="00365416" w:rsidP="00F35897">
      <w:pPr>
        <w:pStyle w:val="BodyTextIndent"/>
        <w:tabs>
          <w:tab w:val="clear" w:pos="360"/>
          <w:tab w:val="left" w:pos="720"/>
        </w:tabs>
        <w:ind w:left="720"/>
        <w:rPr>
          <w:i/>
          <w:color w:val="C00000"/>
        </w:rPr>
      </w:pPr>
      <w:r w:rsidRPr="008C25D0">
        <w:t>(1)</w:t>
      </w:r>
      <w:r w:rsidRPr="008C25D0">
        <w:tab/>
        <w:t xml:space="preserve">Following an appropriate probationary period (as discussed in Section C73 of the </w:t>
      </w:r>
      <w:r w:rsidR="00CC3F00">
        <w:rPr>
          <w:i/>
        </w:rPr>
        <w:t>University Handbook</w:t>
      </w:r>
      <w:r w:rsidRPr="008C25D0">
        <w:t>), during which time annual evaluations in the areas of teaching, research</w:t>
      </w:r>
      <w:r w:rsidR="00747708">
        <w:t>,</w:t>
      </w:r>
      <w:r w:rsidRPr="008C25D0">
        <w:t xml:space="preserve"> and service meet or exceed departmental expectations, an </w:t>
      </w:r>
      <w:r w:rsidR="00C44BCC">
        <w:t>a</w:t>
      </w:r>
      <w:r w:rsidR="00C44BCC" w:rsidRPr="008C25D0">
        <w:t xml:space="preserve">ssistant </w:t>
      </w:r>
      <w:r w:rsidR="00C44BCC">
        <w:t>p</w:t>
      </w:r>
      <w:r w:rsidR="00C44BCC" w:rsidRPr="008C25D0">
        <w:t xml:space="preserve">rofessor </w:t>
      </w:r>
      <w:r w:rsidRPr="008C25D0">
        <w:t>may be invited by the Department Head or may</w:t>
      </w:r>
      <w:r w:rsidR="00E63692">
        <w:t xml:space="preserve"> </w:t>
      </w:r>
      <w:r w:rsidRPr="008C25D0">
        <w:t>choose</w:t>
      </w:r>
      <w:r w:rsidR="00E63692">
        <w:t xml:space="preserve"> </w:t>
      </w:r>
      <w:r w:rsidRPr="008C25D0">
        <w:t>to submit a portfolio providing evidence of appropriate contribution to merit tenure and promotion.</w:t>
      </w:r>
      <w:r w:rsidR="009F29C6">
        <w:t xml:space="preserve"> </w:t>
      </w:r>
      <w:r w:rsidRPr="008C25D0">
        <w:t xml:space="preserve">The Department Head will make this invitation in the first week of the </w:t>
      </w:r>
      <w:r w:rsidR="00615D3B">
        <w:t>f</w:t>
      </w:r>
      <w:r w:rsidRPr="008C25D0">
        <w:t>all semester and provide a due date for the portfolio in early October.</w:t>
      </w:r>
      <w:r w:rsidR="009F29C6">
        <w:t xml:space="preserve"> </w:t>
      </w:r>
      <w:r w:rsidR="0011561D" w:rsidRPr="0064554F">
        <w:t xml:space="preserve">The timetable </w:t>
      </w:r>
      <w:r w:rsidR="00BB58F0" w:rsidRPr="0064554F">
        <w:t xml:space="preserve">for this process </w:t>
      </w:r>
      <w:r w:rsidR="0011561D" w:rsidRPr="0064554F">
        <w:t>is presented in Appendix 3.</w:t>
      </w:r>
      <w:r w:rsidRPr="0011561D">
        <w:rPr>
          <w:i/>
          <w:color w:val="C00000"/>
        </w:rPr>
        <w:t xml:space="preserve"> </w:t>
      </w:r>
    </w:p>
    <w:p w:rsidR="00365416" w:rsidRPr="008C25D0" w:rsidRDefault="00365416" w:rsidP="00F35897">
      <w:pPr>
        <w:tabs>
          <w:tab w:val="left" w:pos="720"/>
        </w:tabs>
        <w:ind w:left="720" w:hanging="360"/>
        <w:rPr>
          <w:sz w:val="22"/>
        </w:rPr>
      </w:pPr>
    </w:p>
    <w:p w:rsidR="00365416" w:rsidRPr="008C25D0" w:rsidRDefault="00365416" w:rsidP="00F35897">
      <w:pPr>
        <w:pStyle w:val="BodyTextIndent"/>
        <w:tabs>
          <w:tab w:val="clear" w:pos="360"/>
          <w:tab w:val="left" w:pos="720"/>
        </w:tabs>
        <w:ind w:left="720"/>
      </w:pPr>
      <w:r w:rsidRPr="008C25D0">
        <w:t xml:space="preserve">(2) </w:t>
      </w:r>
      <w:r w:rsidRPr="008C25D0">
        <w:tab/>
        <w:t>On or before the specified date, the candidate will provide a portfolio consisting of the standard documentation required for the promotion and tenure decision.</w:t>
      </w:r>
      <w:r w:rsidR="009F29C6">
        <w:t xml:space="preserve"> </w:t>
      </w:r>
      <w:r w:rsidRPr="008C25D0">
        <w:t>(See Tables A-C in Appendix 2 for examples of appropriate material.)</w:t>
      </w:r>
      <w:r w:rsidR="009F29C6">
        <w:t xml:space="preserve"> </w:t>
      </w:r>
      <w:r w:rsidRPr="008C25D0">
        <w:t xml:space="preserve">The candidate should also consult tenured faculty and the Department Head to determine what to include in </w:t>
      </w:r>
      <w:r w:rsidR="00733734">
        <w:t>the</w:t>
      </w:r>
      <w:r w:rsidR="00733734" w:rsidRPr="008C25D0">
        <w:t xml:space="preserve"> </w:t>
      </w:r>
      <w:r w:rsidRPr="008C25D0">
        <w:t>portfolio.</w:t>
      </w:r>
      <w:r w:rsidR="009F29C6">
        <w:t xml:space="preserve"> </w:t>
      </w:r>
      <w:r w:rsidRPr="008C25D0">
        <w:t xml:space="preserve">A candidate should be encouraged to review previous tenure portfolios on file.  </w:t>
      </w:r>
    </w:p>
    <w:p w:rsidR="00365416" w:rsidRPr="008C25D0" w:rsidRDefault="00365416" w:rsidP="00F35897">
      <w:pPr>
        <w:tabs>
          <w:tab w:val="left" w:pos="720"/>
        </w:tabs>
        <w:ind w:left="720" w:hanging="360"/>
        <w:rPr>
          <w:sz w:val="22"/>
        </w:rPr>
      </w:pPr>
    </w:p>
    <w:p w:rsidR="00365416" w:rsidRPr="008C25D0" w:rsidRDefault="00365416" w:rsidP="00F35897">
      <w:pPr>
        <w:pStyle w:val="BodyTextIndent"/>
        <w:tabs>
          <w:tab w:val="clear" w:pos="360"/>
          <w:tab w:val="left" w:pos="720"/>
        </w:tabs>
        <w:ind w:left="720"/>
      </w:pPr>
      <w:r w:rsidRPr="008C25D0">
        <w:t xml:space="preserve">(3) </w:t>
      </w:r>
      <w:r w:rsidRPr="008C25D0">
        <w:tab/>
        <w:t>In the third week of October, the candidate's materials will be made available to all tenured faculty members for review.</w:t>
      </w:r>
      <w:r w:rsidR="009F29C6">
        <w:t xml:space="preserve"> </w:t>
      </w:r>
      <w:r w:rsidRPr="008C25D0">
        <w:t>A specific completion date for this activity will be provided by the Department Head.</w:t>
      </w:r>
      <w:r w:rsidR="009F29C6">
        <w:t xml:space="preserve"> </w:t>
      </w:r>
      <w:r w:rsidRPr="008C25D0">
        <w:t>If desired, any member of the tenured faculty may request a meeting with the candidate to clarify the evidence of achievement submitted by the candidate.</w:t>
      </w:r>
    </w:p>
    <w:p w:rsidR="00365416" w:rsidRPr="008C25D0" w:rsidRDefault="00365416" w:rsidP="00F35897">
      <w:pPr>
        <w:pStyle w:val="BodyTextIndent"/>
        <w:tabs>
          <w:tab w:val="clear" w:pos="360"/>
          <w:tab w:val="left" w:pos="720"/>
        </w:tabs>
        <w:ind w:left="720"/>
      </w:pPr>
    </w:p>
    <w:p w:rsidR="00365416" w:rsidRPr="0064554F" w:rsidRDefault="00365416" w:rsidP="00F35897">
      <w:pPr>
        <w:pStyle w:val="BodyTextIndent"/>
        <w:tabs>
          <w:tab w:val="clear" w:pos="360"/>
          <w:tab w:val="left" w:pos="720"/>
        </w:tabs>
        <w:ind w:left="720"/>
      </w:pPr>
      <w:r w:rsidRPr="008C25D0">
        <w:t>(4)</w:t>
      </w:r>
      <w:r w:rsidRPr="008C25D0">
        <w:tab/>
        <w:t xml:space="preserve">Consistent with Sections C36.1 and C112.2 of the </w:t>
      </w:r>
      <w:r w:rsidR="00CC3F00">
        <w:rPr>
          <w:i/>
        </w:rPr>
        <w:t>University Handbook</w:t>
      </w:r>
      <w:r w:rsidRPr="008C25D0">
        <w:t>, outside reviewers may be asked to evaluate the candidate’s package.  If the candidate selects to have outside reviewers, he</w:t>
      </w:r>
      <w:r w:rsidR="00747708">
        <w:t xml:space="preserve"> or </w:t>
      </w:r>
      <w:r w:rsidRPr="008C25D0">
        <w:t xml:space="preserve">she should make such request in the first week of </w:t>
      </w:r>
      <w:r w:rsidR="00615D3B">
        <w:t>f</w:t>
      </w:r>
      <w:r w:rsidRPr="008C25D0">
        <w:t>all semester</w:t>
      </w:r>
      <w:r w:rsidRPr="0064554F">
        <w:t xml:space="preserve">.  </w:t>
      </w:r>
      <w:r w:rsidR="00337CC2" w:rsidRPr="0064554F">
        <w:t xml:space="preserve">If this request is made, an equal number of </w:t>
      </w:r>
      <w:proofErr w:type="gramStart"/>
      <w:r w:rsidR="00337CC2" w:rsidRPr="0064554F">
        <w:t>objective</w:t>
      </w:r>
      <w:proofErr w:type="gramEnd"/>
      <w:r w:rsidR="00337CC2" w:rsidRPr="0064554F">
        <w:t xml:space="preserve"> outside reviewers will be selected by the candidate and the Department Head.</w:t>
      </w:r>
      <w:r w:rsidR="00982CAA" w:rsidRPr="0064554F">
        <w:t xml:space="preserve"> These reviewers must be tenured and may not be co</w:t>
      </w:r>
      <w:r w:rsidR="00C60E97">
        <w:t>-</w:t>
      </w:r>
      <w:r w:rsidR="00982CAA" w:rsidRPr="0064554F">
        <w:t>authors</w:t>
      </w:r>
      <w:r w:rsidR="00C50998">
        <w:t>, major professor or graduate school classmates</w:t>
      </w:r>
      <w:r w:rsidR="00982CAA" w:rsidRPr="0064554F">
        <w:t xml:space="preserve"> of the candidate.</w:t>
      </w:r>
    </w:p>
    <w:p w:rsidR="00365416" w:rsidRPr="008C25D0" w:rsidRDefault="00365416" w:rsidP="00F35897">
      <w:pPr>
        <w:tabs>
          <w:tab w:val="left" w:pos="720"/>
        </w:tabs>
        <w:ind w:left="720" w:hanging="360"/>
        <w:rPr>
          <w:sz w:val="22"/>
        </w:rPr>
      </w:pPr>
    </w:p>
    <w:p w:rsidR="00365416" w:rsidRPr="008C25D0" w:rsidRDefault="00365416" w:rsidP="00F35897">
      <w:pPr>
        <w:pStyle w:val="BodyTextIndent"/>
        <w:tabs>
          <w:tab w:val="clear" w:pos="360"/>
          <w:tab w:val="left" w:pos="720"/>
        </w:tabs>
        <w:ind w:left="720"/>
      </w:pPr>
      <w:r w:rsidRPr="008C25D0">
        <w:t>(5)</w:t>
      </w:r>
      <w:r w:rsidRPr="008C25D0">
        <w:tab/>
        <w:t xml:space="preserve">During the last week of October, the </w:t>
      </w:r>
      <w:r w:rsidR="005C1F28" w:rsidRPr="008C25D0">
        <w:t>D</w:t>
      </w:r>
      <w:r w:rsidRPr="008C25D0">
        <w:t xml:space="preserve">epartment </w:t>
      </w:r>
      <w:r w:rsidR="00733734">
        <w:t>H</w:t>
      </w:r>
      <w:r w:rsidRPr="008C25D0">
        <w:t xml:space="preserve">ead will schedule a meeting of tenured faculty to discuss and vote on the candidate's application for promotion and tenure.  The vote on any candidate shall be taken by secret ballot.  Tenured faculty who are unable to attend may request an absentee ballot. </w:t>
      </w:r>
    </w:p>
    <w:p w:rsidR="00365416" w:rsidRPr="008C25D0" w:rsidRDefault="00365416" w:rsidP="00F35897">
      <w:pPr>
        <w:pStyle w:val="BodyTextIndent"/>
        <w:tabs>
          <w:tab w:val="clear" w:pos="360"/>
          <w:tab w:val="left" w:pos="720"/>
        </w:tabs>
        <w:ind w:left="720"/>
      </w:pPr>
    </w:p>
    <w:p w:rsidR="00365416" w:rsidRPr="008C25D0" w:rsidRDefault="00365416" w:rsidP="00F35897">
      <w:pPr>
        <w:pStyle w:val="BodyTextIndent"/>
        <w:tabs>
          <w:tab w:val="clear" w:pos="360"/>
        </w:tabs>
        <w:ind w:left="720"/>
      </w:pPr>
      <w:r w:rsidRPr="008C25D0">
        <w:t>(6)</w:t>
      </w:r>
      <w:r w:rsidRPr="008C25D0">
        <w:tab/>
        <w:t xml:space="preserve">The Department Head will forward a written recommendation to the Dean, accompanied by an explanation of her or his judgment.  All recommendations and unedited written comments of the Department's tenured faculty members and the candidate's complete file will also be forwarded to the Dean.  A copy of the Department Head's written recommendation alone will be forwarded to the candidate. </w:t>
      </w:r>
    </w:p>
    <w:p w:rsidR="00365416" w:rsidRPr="008C25D0" w:rsidRDefault="002C2FF3" w:rsidP="00F35897">
      <w:pPr>
        <w:pStyle w:val="BodyTextIndent"/>
        <w:tabs>
          <w:tab w:val="clear" w:pos="360"/>
          <w:tab w:val="left" w:pos="720"/>
        </w:tabs>
        <w:ind w:left="720"/>
      </w:pPr>
      <w:r w:rsidRPr="008C25D0">
        <w:lastRenderedPageBreak/>
        <w:t xml:space="preserve"> </w:t>
      </w:r>
      <w:r w:rsidR="00365416" w:rsidRPr="008C25D0">
        <w:t>(7)</w:t>
      </w:r>
      <w:r w:rsidR="00365416" w:rsidRPr="008C25D0">
        <w:tab/>
        <w:t xml:space="preserve">The remaining steps in the tenure process occur outside the </w:t>
      </w:r>
      <w:r w:rsidR="00AB6295" w:rsidRPr="008C25D0">
        <w:t>Department of Management</w:t>
      </w:r>
      <w:r w:rsidR="00365416" w:rsidRPr="008C25D0">
        <w:t xml:space="preserve"> and are discussed in Sections C113-C115 of the </w:t>
      </w:r>
      <w:r w:rsidR="006C004A">
        <w:rPr>
          <w:i/>
        </w:rPr>
        <w:t>University</w:t>
      </w:r>
      <w:r w:rsidR="006C004A" w:rsidRPr="008C25D0">
        <w:rPr>
          <w:i/>
        </w:rPr>
        <w:t xml:space="preserve"> </w:t>
      </w:r>
      <w:r w:rsidR="00365416" w:rsidRPr="008C25D0">
        <w:rPr>
          <w:i/>
        </w:rPr>
        <w:t>Handbook.</w:t>
      </w:r>
      <w:r w:rsidR="00365416" w:rsidRPr="008C25D0">
        <w:t xml:space="preserve">  </w:t>
      </w:r>
    </w:p>
    <w:p w:rsidR="00182E9E" w:rsidRPr="008C25D0" w:rsidRDefault="00182E9E" w:rsidP="00535D83">
      <w:pPr>
        <w:rPr>
          <w:b/>
          <w:sz w:val="22"/>
        </w:rPr>
      </w:pPr>
    </w:p>
    <w:p w:rsidR="00365416" w:rsidRPr="008C25D0" w:rsidRDefault="00365416" w:rsidP="00F35897">
      <w:pPr>
        <w:pStyle w:val="Heading6"/>
        <w:ind w:left="360"/>
      </w:pPr>
      <w:r w:rsidRPr="008C25D0">
        <w:t>Promotion from Associate Professor to Full Professor</w:t>
      </w:r>
    </w:p>
    <w:p w:rsidR="00365416" w:rsidRPr="008C25D0" w:rsidRDefault="00365416">
      <w:pPr>
        <w:rPr>
          <w:b/>
          <w:sz w:val="22"/>
        </w:rPr>
      </w:pPr>
    </w:p>
    <w:p w:rsidR="00365416" w:rsidRPr="008C25D0" w:rsidRDefault="002A59A0" w:rsidP="00F35897">
      <w:pPr>
        <w:pStyle w:val="BodyTextIndent"/>
        <w:numPr>
          <w:ilvl w:val="0"/>
          <w:numId w:val="14"/>
        </w:numPr>
        <w:tabs>
          <w:tab w:val="clear" w:pos="360"/>
          <w:tab w:val="clear" w:pos="720"/>
        </w:tabs>
      </w:pPr>
      <w:r>
        <w:t xml:space="preserve">Consistent with Section C140, </w:t>
      </w:r>
      <w:r w:rsidR="004B26E6">
        <w:t>a</w:t>
      </w:r>
      <w:r w:rsidR="004B26E6" w:rsidRPr="008C25D0">
        <w:t xml:space="preserve">ssociate </w:t>
      </w:r>
      <w:r w:rsidR="004B26E6">
        <w:t>p</w:t>
      </w:r>
      <w:r w:rsidR="004B26E6" w:rsidRPr="008C25D0">
        <w:t>rofessor</w:t>
      </w:r>
      <w:r>
        <w:t>s</w:t>
      </w:r>
      <w:r w:rsidR="004B26E6" w:rsidRPr="008C25D0">
        <w:t xml:space="preserve"> </w:t>
      </w:r>
      <w:r>
        <w:t xml:space="preserve">who have </w:t>
      </w:r>
      <w:r w:rsidRPr="001D72A9">
        <w:t xml:space="preserve">demonstrated superior professional accomplishment and excellence in the performance of their assigned duties </w:t>
      </w:r>
      <w:r w:rsidR="00365416" w:rsidRPr="008C25D0">
        <w:t xml:space="preserve">may be invited by a </w:t>
      </w:r>
      <w:r w:rsidR="004B26E6">
        <w:t>f</w:t>
      </w:r>
      <w:r w:rsidR="004B26E6" w:rsidRPr="008C25D0">
        <w:t xml:space="preserve">ull </w:t>
      </w:r>
      <w:r w:rsidR="004B26E6">
        <w:t>p</w:t>
      </w:r>
      <w:r w:rsidR="004B26E6" w:rsidRPr="008C25D0">
        <w:t>rofessor</w:t>
      </w:r>
      <w:r w:rsidR="004B26E6">
        <w:t xml:space="preserve"> </w:t>
      </w:r>
      <w:r w:rsidR="00365416" w:rsidRPr="008C25D0">
        <w:t>or may choose to submit a portfolio providing evidence of continued contribution to department, college, university</w:t>
      </w:r>
      <w:r w:rsidR="004B26E6">
        <w:t>,</w:t>
      </w:r>
      <w:r w:rsidR="00365416" w:rsidRPr="008C25D0">
        <w:t xml:space="preserve"> and national concerns within their area of appointment. (See </w:t>
      </w:r>
      <w:r w:rsidR="00CC3F00" w:rsidRPr="00743443">
        <w:rPr>
          <w:i/>
        </w:rPr>
        <w:t>University Handbook</w:t>
      </w:r>
      <w:r w:rsidR="00365416" w:rsidRPr="008C25D0">
        <w:t xml:space="preserve"> Sections C150, C151</w:t>
      </w:r>
      <w:r w:rsidR="004B26E6">
        <w:t>,</w:t>
      </w:r>
      <w:r w:rsidR="00365416" w:rsidRPr="008C25D0">
        <w:t xml:space="preserve"> and C152.2.)  This decision/invitation will come in the first week of the </w:t>
      </w:r>
      <w:r w:rsidR="00615D3B">
        <w:t>f</w:t>
      </w:r>
      <w:r w:rsidR="00365416" w:rsidRPr="008C25D0">
        <w:t xml:space="preserve">all semester, and the candidate's portfolio will be due in early October. </w:t>
      </w:r>
    </w:p>
    <w:p w:rsidR="00365416" w:rsidRPr="008C25D0" w:rsidRDefault="00365416" w:rsidP="00F35897">
      <w:pPr>
        <w:pStyle w:val="BodyTextIndent"/>
        <w:ind w:left="720"/>
      </w:pPr>
    </w:p>
    <w:p w:rsidR="00365416" w:rsidRPr="008C25D0" w:rsidRDefault="00365416" w:rsidP="00F35897">
      <w:pPr>
        <w:pStyle w:val="BodyTextIndent"/>
        <w:ind w:left="720"/>
      </w:pPr>
      <w:r w:rsidRPr="008C25D0">
        <w:t>(2)</w:t>
      </w:r>
      <w:r w:rsidRPr="008C25D0">
        <w:tab/>
        <w:t xml:space="preserve">On or before the specified date, the candidate will provide a portfolio of materials providing evidence to support </w:t>
      </w:r>
      <w:r w:rsidR="00615D3B">
        <w:t>his or her</w:t>
      </w:r>
      <w:r w:rsidR="00615D3B" w:rsidRPr="008C25D0">
        <w:t xml:space="preserve"> </w:t>
      </w:r>
      <w:r w:rsidRPr="008C25D0">
        <w:t xml:space="preserve">promotion from associate professor to full professor.  The information provided should include the standard forms used for promotion decisions and other material as specified in the </w:t>
      </w:r>
      <w:r w:rsidR="00CC3F00">
        <w:rPr>
          <w:i/>
        </w:rPr>
        <w:t>University Handbook</w:t>
      </w:r>
      <w:r w:rsidRPr="008C25D0">
        <w:rPr>
          <w:i/>
        </w:rPr>
        <w:t>.</w:t>
      </w:r>
      <w:r w:rsidRPr="008C25D0">
        <w:t xml:space="preserve"> (See Tables A-C in Appendix 2 for examples of appropriate material.) </w:t>
      </w:r>
    </w:p>
    <w:p w:rsidR="00365416" w:rsidRPr="008C25D0" w:rsidRDefault="00365416" w:rsidP="00F35897">
      <w:pPr>
        <w:pStyle w:val="BodyTextIndent"/>
        <w:ind w:left="720"/>
      </w:pPr>
    </w:p>
    <w:p w:rsidR="00365416" w:rsidRPr="008C25D0" w:rsidRDefault="00365416" w:rsidP="00F35897">
      <w:pPr>
        <w:pStyle w:val="BodyTextIndent"/>
        <w:ind w:left="720"/>
      </w:pPr>
      <w:r w:rsidRPr="008C25D0">
        <w:t>(3)</w:t>
      </w:r>
      <w:r w:rsidRPr="008C25D0">
        <w:tab/>
        <w:t xml:space="preserve">In the third week of October, the candidate's materials will be made available to all tenured full professors in the </w:t>
      </w:r>
      <w:r w:rsidR="00733734">
        <w:t>D</w:t>
      </w:r>
      <w:r w:rsidRPr="008C25D0">
        <w:t xml:space="preserve">epartment.  A specific completion date for this activity will be provided by the Department Head.  If desired, any tenured full professor may request a meeting with the candidate to clarify the evidence of achievement submitted by the candidate.  </w:t>
      </w:r>
    </w:p>
    <w:p w:rsidR="00365416" w:rsidRPr="008C25D0" w:rsidRDefault="00365416" w:rsidP="00F35897">
      <w:pPr>
        <w:pStyle w:val="BodyTextIndent"/>
        <w:ind w:left="720"/>
      </w:pPr>
    </w:p>
    <w:p w:rsidR="00365416" w:rsidRPr="008C25D0" w:rsidRDefault="00365416" w:rsidP="00F35897">
      <w:pPr>
        <w:pStyle w:val="BodyTextIndent"/>
        <w:ind w:left="720"/>
      </w:pPr>
      <w:r w:rsidRPr="008C25D0">
        <w:t>(4)</w:t>
      </w:r>
      <w:r w:rsidRPr="008C25D0">
        <w:tab/>
      </w:r>
      <w:r w:rsidR="00A75095" w:rsidRPr="00B815C1">
        <w:t>Those seeking promotions to full professor must have their research reviewed by external experts. During the first week of the fall semester the candidate must submit a research portfolio that will be used for external evaluation.</w:t>
      </w:r>
      <w:r w:rsidR="00A75095" w:rsidRPr="008C25D0">
        <w:t xml:space="preserve">  </w:t>
      </w:r>
      <w:r w:rsidRPr="008C25D0">
        <w:t xml:space="preserve"> </w:t>
      </w:r>
    </w:p>
    <w:p w:rsidR="00365416" w:rsidRPr="008C25D0" w:rsidRDefault="00365416" w:rsidP="00F35897">
      <w:pPr>
        <w:pStyle w:val="BodyTextIndent"/>
        <w:ind w:left="720"/>
      </w:pPr>
    </w:p>
    <w:p w:rsidR="00365416" w:rsidRPr="008C25D0" w:rsidRDefault="00365416" w:rsidP="00F35897">
      <w:pPr>
        <w:pStyle w:val="BodyTextIndent"/>
        <w:ind w:left="720"/>
      </w:pPr>
      <w:r w:rsidRPr="008C25D0">
        <w:t>(5)</w:t>
      </w:r>
      <w:r w:rsidRPr="008C25D0">
        <w:tab/>
        <w:t xml:space="preserve">During the last week of October, the Department Head will schedule a meeting of tenured full professors to discuss and vote on the candidate's application for promotion.  The vote on any candidate shall be taken by secret ballot.  Tenured full professors who are unable to attend may request an absentee ballot.  </w:t>
      </w:r>
    </w:p>
    <w:p w:rsidR="00365416" w:rsidRPr="008C25D0" w:rsidRDefault="00365416" w:rsidP="00F35897">
      <w:pPr>
        <w:pStyle w:val="BodyTextIndent"/>
        <w:ind w:left="720" w:firstLine="0"/>
      </w:pPr>
    </w:p>
    <w:p w:rsidR="00365416" w:rsidRPr="008C25D0" w:rsidRDefault="00365416" w:rsidP="00F35897">
      <w:pPr>
        <w:pStyle w:val="BodyTextIndent"/>
        <w:tabs>
          <w:tab w:val="clear" w:pos="360"/>
        </w:tabs>
        <w:ind w:left="720"/>
      </w:pPr>
      <w:r w:rsidRPr="008C25D0">
        <w:t>(6)</w:t>
      </w:r>
      <w:r w:rsidRPr="008C25D0">
        <w:tab/>
        <w:t xml:space="preserve">The Department Head will forward a written recommendation to the Dean, accompanied by an explanation of her or his judgment.  All recommendations and unedited written comments of the Department's tenured </w:t>
      </w:r>
      <w:r w:rsidR="00733734">
        <w:t>full professors</w:t>
      </w:r>
      <w:r w:rsidRPr="008C25D0">
        <w:t xml:space="preserve"> and the candidate's complete file will also be forwarded to the Dean.  A copy of the Department Head's written recommendation alone will be forwarded to the candidate. </w:t>
      </w:r>
    </w:p>
    <w:p w:rsidR="00365416" w:rsidRPr="008C25D0" w:rsidRDefault="00365416">
      <w:pPr>
        <w:pStyle w:val="BodyTextIndent"/>
      </w:pPr>
      <w:r w:rsidRPr="008C25D0">
        <w:t xml:space="preserve"> </w:t>
      </w:r>
    </w:p>
    <w:p w:rsidR="00365416" w:rsidRPr="008C25D0" w:rsidRDefault="00365416" w:rsidP="00F35897">
      <w:pPr>
        <w:pStyle w:val="BodyTextIndent"/>
        <w:tabs>
          <w:tab w:val="clear" w:pos="360"/>
          <w:tab w:val="left" w:pos="720"/>
        </w:tabs>
        <w:ind w:left="720"/>
      </w:pPr>
      <w:r w:rsidRPr="008C25D0">
        <w:t>(7)</w:t>
      </w:r>
      <w:r w:rsidRPr="008C25D0">
        <w:tab/>
        <w:t xml:space="preserve">The remaining steps in the </w:t>
      </w:r>
      <w:r w:rsidR="00233E69">
        <w:t>promotion</w:t>
      </w:r>
      <w:r w:rsidR="00233E69" w:rsidRPr="008C25D0">
        <w:t xml:space="preserve"> </w:t>
      </w:r>
      <w:r w:rsidRPr="008C25D0">
        <w:t xml:space="preserve">process occur outside the Department of Management and are discussed in Sections C153.1-155 of the </w:t>
      </w:r>
      <w:r w:rsidR="00CC3F00">
        <w:rPr>
          <w:i/>
        </w:rPr>
        <w:t>University Handbook</w:t>
      </w:r>
      <w:r w:rsidRPr="008C25D0">
        <w:t xml:space="preserve">.  </w:t>
      </w:r>
    </w:p>
    <w:p w:rsidR="00365416" w:rsidRPr="008C25D0" w:rsidRDefault="00365416">
      <w:pPr>
        <w:rPr>
          <w:b/>
          <w:sz w:val="22"/>
        </w:rPr>
      </w:pPr>
    </w:p>
    <w:p w:rsidR="00365416" w:rsidRPr="00F35897" w:rsidRDefault="00F35897" w:rsidP="00F35897">
      <w:pPr>
        <w:ind w:left="360"/>
        <w:rPr>
          <w:b/>
          <w:sz w:val="24"/>
          <w:szCs w:val="24"/>
        </w:rPr>
      </w:pPr>
      <w:r w:rsidRPr="00F35897">
        <w:rPr>
          <w:b/>
          <w:sz w:val="24"/>
          <w:szCs w:val="24"/>
        </w:rPr>
        <w:t xml:space="preserve">2.  </w:t>
      </w:r>
      <w:r w:rsidR="00365416" w:rsidRPr="00F35897">
        <w:rPr>
          <w:b/>
          <w:sz w:val="24"/>
          <w:szCs w:val="24"/>
        </w:rPr>
        <w:t>Criteria/Standards</w:t>
      </w:r>
    </w:p>
    <w:p w:rsidR="00365416" w:rsidRPr="008C25D0" w:rsidRDefault="00365416">
      <w:pPr>
        <w:rPr>
          <w:sz w:val="22"/>
        </w:rPr>
      </w:pPr>
    </w:p>
    <w:p w:rsidR="00365416" w:rsidRPr="008C25D0" w:rsidRDefault="00365416" w:rsidP="00F35897">
      <w:pPr>
        <w:pStyle w:val="Heading6"/>
        <w:ind w:left="360"/>
      </w:pPr>
      <w:r w:rsidRPr="008C25D0">
        <w:t>Promotion from Assistant Professor to Associate Professor with Tenure</w:t>
      </w:r>
    </w:p>
    <w:p w:rsidR="00365416" w:rsidRPr="008C25D0" w:rsidRDefault="00365416">
      <w:pPr>
        <w:rPr>
          <w:sz w:val="22"/>
        </w:rPr>
      </w:pPr>
    </w:p>
    <w:p w:rsidR="00365416" w:rsidRPr="008C25D0" w:rsidRDefault="00365416" w:rsidP="00F35897">
      <w:pPr>
        <w:ind w:left="720" w:hanging="360"/>
        <w:rPr>
          <w:b/>
          <w:sz w:val="22"/>
        </w:rPr>
      </w:pPr>
      <w:r w:rsidRPr="008C25D0">
        <w:rPr>
          <w:b/>
          <w:sz w:val="22"/>
        </w:rPr>
        <w:t>(1)</w:t>
      </w:r>
      <w:r w:rsidRPr="008C25D0">
        <w:rPr>
          <w:b/>
          <w:sz w:val="22"/>
        </w:rPr>
        <w:tab/>
        <w:t xml:space="preserve">Teaching </w:t>
      </w:r>
    </w:p>
    <w:p w:rsidR="00365416" w:rsidRPr="008C25D0" w:rsidRDefault="00365416">
      <w:pPr>
        <w:ind w:left="360" w:hanging="360"/>
        <w:rPr>
          <w:sz w:val="22"/>
        </w:rPr>
      </w:pPr>
    </w:p>
    <w:p w:rsidR="00365416" w:rsidRPr="008C25D0" w:rsidRDefault="00365416" w:rsidP="00F35897">
      <w:pPr>
        <w:pStyle w:val="BodyTextIndent2"/>
        <w:ind w:left="720"/>
      </w:pPr>
      <w:r w:rsidRPr="008C25D0">
        <w:t>The component of the portfolio dealing with teaching should provide evidence that the candidate has attained a sufficient level of teaching proficiency within the area of his</w:t>
      </w:r>
      <w:r w:rsidR="004B26E6">
        <w:t xml:space="preserve"> or </w:t>
      </w:r>
      <w:r w:rsidRPr="008C25D0">
        <w:t xml:space="preserve">her appointment. Evidence of this proficiency may be obtained from student evaluations, written student comments, correspondence from graduated students, course syllabi, instructional material </w:t>
      </w:r>
      <w:r w:rsidRPr="008C25D0">
        <w:lastRenderedPageBreak/>
        <w:t>developed by the individual, and other items that increase students</w:t>
      </w:r>
      <w:r w:rsidR="00233E69">
        <w:t>’</w:t>
      </w:r>
      <w:r w:rsidRPr="008C25D0">
        <w:t xml:space="preserve"> understanding of present industry practice.  (See more examples provided in Appendix 2, Table A.) </w:t>
      </w:r>
    </w:p>
    <w:p w:rsidR="00365416" w:rsidRPr="008C25D0" w:rsidRDefault="00365416">
      <w:pPr>
        <w:ind w:left="360" w:hanging="360"/>
        <w:rPr>
          <w:sz w:val="22"/>
        </w:rPr>
      </w:pPr>
      <w:r w:rsidRPr="008C25D0">
        <w:rPr>
          <w:sz w:val="22"/>
        </w:rPr>
        <w:tab/>
      </w:r>
    </w:p>
    <w:p w:rsidR="00365416" w:rsidRPr="008C25D0" w:rsidRDefault="00365416" w:rsidP="00F35897">
      <w:pPr>
        <w:ind w:left="720" w:hanging="360"/>
        <w:rPr>
          <w:b/>
          <w:sz w:val="22"/>
        </w:rPr>
      </w:pPr>
      <w:r w:rsidRPr="008C25D0">
        <w:rPr>
          <w:b/>
          <w:sz w:val="22"/>
        </w:rPr>
        <w:t xml:space="preserve"> (2)</w:t>
      </w:r>
      <w:r w:rsidRPr="008C25D0">
        <w:rPr>
          <w:b/>
          <w:sz w:val="22"/>
        </w:rPr>
        <w:tab/>
        <w:t xml:space="preserve">Research </w:t>
      </w:r>
    </w:p>
    <w:p w:rsidR="00365416" w:rsidRPr="008C25D0" w:rsidRDefault="00365416">
      <w:pPr>
        <w:ind w:left="360" w:hanging="360"/>
        <w:rPr>
          <w:sz w:val="22"/>
        </w:rPr>
      </w:pPr>
    </w:p>
    <w:p w:rsidR="00365416" w:rsidRDefault="00365416" w:rsidP="00F35897">
      <w:pPr>
        <w:ind w:left="720"/>
        <w:rPr>
          <w:sz w:val="22"/>
        </w:rPr>
      </w:pPr>
      <w:r w:rsidRPr="008C25D0">
        <w:rPr>
          <w:sz w:val="22"/>
        </w:rPr>
        <w:t>The component of the portfolio dealing with research activities should provide solid evidence that the candidate has the potential of acquiring a national reputation within an area related to his</w:t>
      </w:r>
      <w:r w:rsidR="004B26E6">
        <w:rPr>
          <w:sz w:val="22"/>
        </w:rPr>
        <w:t xml:space="preserve"> or </w:t>
      </w:r>
      <w:r w:rsidRPr="008C25D0">
        <w:rPr>
          <w:sz w:val="22"/>
        </w:rPr>
        <w:t>her field of appointment.  The primary evidence for this potential should be reflected in a well-defined research path, high-quality publications</w:t>
      </w:r>
      <w:r w:rsidR="00233E69">
        <w:rPr>
          <w:sz w:val="22"/>
        </w:rPr>
        <w:t>,</w:t>
      </w:r>
      <w:r w:rsidRPr="008C25D0">
        <w:rPr>
          <w:sz w:val="22"/>
        </w:rPr>
        <w:t xml:space="preserve"> and other items (as described in Appendix 2, Table B) showing progress along this path.  </w:t>
      </w:r>
      <w:r w:rsidRPr="008C25D0">
        <w:rPr>
          <w:sz w:val="22"/>
          <w:szCs w:val="22"/>
        </w:rPr>
        <w:t xml:space="preserve">Extramural </w:t>
      </w:r>
      <w:r w:rsidRPr="008C25D0">
        <w:rPr>
          <w:sz w:val="22"/>
          <w:szCs w:val="22"/>
          <w:lang w:eastAsia="zh-TW"/>
        </w:rPr>
        <w:t>research</w:t>
      </w:r>
      <w:r w:rsidRPr="008C25D0">
        <w:rPr>
          <w:rFonts w:hint="eastAsia"/>
          <w:sz w:val="22"/>
          <w:szCs w:val="22"/>
          <w:lang w:eastAsia="zh-TW"/>
        </w:rPr>
        <w:t xml:space="preserve"> </w:t>
      </w:r>
      <w:r w:rsidRPr="008C25D0">
        <w:rPr>
          <w:sz w:val="22"/>
          <w:szCs w:val="22"/>
        </w:rPr>
        <w:t xml:space="preserve">funding is increasingly important to the Department and efforts on this front, while not required, will be positively weighted in the evaluation process. </w:t>
      </w:r>
      <w:r w:rsidRPr="008C25D0">
        <w:rPr>
          <w:sz w:val="22"/>
        </w:rPr>
        <w:t xml:space="preserve"> The candidate needs to show evidence that he or she is able to lead a research effort (e.g., single-authored or first-authored works).</w:t>
      </w:r>
      <w:r w:rsidRPr="008C25D0">
        <w:t xml:space="preserve">  </w:t>
      </w:r>
      <w:r w:rsidR="00F420CD">
        <w:rPr>
          <w:sz w:val="22"/>
        </w:rPr>
        <w:t>B</w:t>
      </w:r>
      <w:r w:rsidRPr="008C25D0">
        <w:rPr>
          <w:sz w:val="22"/>
        </w:rPr>
        <w:t xml:space="preserve">oth research quantity and quality will be assessed.  (The Department Head and tenured faculty members should hold regular discussions with junior faculty members to explain and clarify research expectations.)   Quality of research may be evaluated using national ranking reports, the </w:t>
      </w:r>
      <w:r w:rsidRPr="008C25D0">
        <w:rPr>
          <w:i/>
          <w:sz w:val="22"/>
        </w:rPr>
        <w:t xml:space="preserve">Department of Management </w:t>
      </w:r>
      <w:r w:rsidR="004F241B">
        <w:rPr>
          <w:i/>
          <w:sz w:val="22"/>
        </w:rPr>
        <w:t xml:space="preserve">High Quality </w:t>
      </w:r>
      <w:r w:rsidRPr="008C25D0">
        <w:rPr>
          <w:i/>
          <w:sz w:val="22"/>
        </w:rPr>
        <w:t>Journal List</w:t>
      </w:r>
      <w:r w:rsidR="00E164A4">
        <w:rPr>
          <w:i/>
          <w:sz w:val="22"/>
        </w:rPr>
        <w:t xml:space="preserve"> </w:t>
      </w:r>
      <w:r w:rsidR="00E164A4" w:rsidRPr="0064554F">
        <w:rPr>
          <w:sz w:val="22"/>
        </w:rPr>
        <w:t xml:space="preserve">(available from the </w:t>
      </w:r>
      <w:r w:rsidR="004B26E6">
        <w:rPr>
          <w:sz w:val="22"/>
        </w:rPr>
        <w:t>D</w:t>
      </w:r>
      <w:r w:rsidR="004B26E6" w:rsidRPr="0064554F">
        <w:rPr>
          <w:sz w:val="22"/>
        </w:rPr>
        <w:t>epartment</w:t>
      </w:r>
      <w:r w:rsidR="00E164A4" w:rsidRPr="0064554F">
        <w:rPr>
          <w:sz w:val="22"/>
        </w:rPr>
        <w:t>)</w:t>
      </w:r>
      <w:r w:rsidRPr="0064554F">
        <w:rPr>
          <w:sz w:val="22"/>
        </w:rPr>
        <w:t xml:space="preserve">, </w:t>
      </w:r>
      <w:r w:rsidR="004F241B" w:rsidRPr="0064554F">
        <w:rPr>
          <w:sz w:val="22"/>
        </w:rPr>
        <w:t xml:space="preserve">Department Head journal quality assessment process, </w:t>
      </w:r>
      <w:r w:rsidRPr="008C25D0">
        <w:rPr>
          <w:sz w:val="22"/>
        </w:rPr>
        <w:t>national recognition of scholarship, citation counts, research awards, tenured faculty opinions of research significance</w:t>
      </w:r>
      <w:r w:rsidR="004B26E6">
        <w:rPr>
          <w:sz w:val="22"/>
        </w:rPr>
        <w:t>,</w:t>
      </w:r>
      <w:r w:rsidRPr="008C25D0">
        <w:rPr>
          <w:sz w:val="22"/>
        </w:rPr>
        <w:t xml:space="preserve"> and other criteria.  Research activity conducted prior to the individual's appointment at </w:t>
      </w:r>
      <w:r w:rsidR="004B26E6" w:rsidRPr="008C25D0">
        <w:rPr>
          <w:sz w:val="22"/>
        </w:rPr>
        <w:t>K</w:t>
      </w:r>
      <w:r w:rsidR="004B26E6">
        <w:rPr>
          <w:sz w:val="22"/>
        </w:rPr>
        <w:t>-</w:t>
      </w:r>
      <w:r w:rsidRPr="008C25D0">
        <w:rPr>
          <w:sz w:val="22"/>
        </w:rPr>
        <w:t>State will be considered.</w:t>
      </w:r>
    </w:p>
    <w:p w:rsidR="00E164A4" w:rsidRDefault="00E164A4" w:rsidP="00F35897">
      <w:pPr>
        <w:ind w:left="720"/>
        <w:rPr>
          <w:sz w:val="22"/>
        </w:rPr>
      </w:pPr>
    </w:p>
    <w:p w:rsidR="00365416" w:rsidRPr="008C25D0" w:rsidRDefault="00365416" w:rsidP="00F35897">
      <w:pPr>
        <w:ind w:left="720" w:hanging="360"/>
        <w:rPr>
          <w:b/>
          <w:sz w:val="22"/>
        </w:rPr>
      </w:pPr>
      <w:r w:rsidRPr="008C25D0">
        <w:rPr>
          <w:b/>
          <w:sz w:val="22"/>
        </w:rPr>
        <w:t xml:space="preserve"> (3)</w:t>
      </w:r>
      <w:r w:rsidRPr="008C25D0">
        <w:rPr>
          <w:b/>
          <w:sz w:val="22"/>
        </w:rPr>
        <w:tab/>
        <w:t xml:space="preserve">Service </w:t>
      </w:r>
    </w:p>
    <w:p w:rsidR="00365416" w:rsidRPr="008C25D0" w:rsidRDefault="00365416">
      <w:pPr>
        <w:ind w:left="360" w:hanging="360"/>
        <w:rPr>
          <w:sz w:val="22"/>
        </w:rPr>
      </w:pPr>
    </w:p>
    <w:p w:rsidR="00365416" w:rsidRPr="008C25D0" w:rsidRDefault="00365416" w:rsidP="00F35897">
      <w:pPr>
        <w:pStyle w:val="BodyTextIndent2"/>
        <w:ind w:left="720"/>
      </w:pPr>
      <w:r w:rsidRPr="008C25D0">
        <w:t xml:space="preserve">Service refers to all other activities (outside of teaching and research) that contribute to the mission of the </w:t>
      </w:r>
      <w:r w:rsidR="005C1F28" w:rsidRPr="008C25D0">
        <w:t xml:space="preserve">Department, </w:t>
      </w:r>
      <w:r w:rsidR="00DA3A22">
        <w:t>c</w:t>
      </w:r>
      <w:r w:rsidR="00DA3A22" w:rsidRPr="008C25D0">
        <w:t>ollege</w:t>
      </w:r>
      <w:r w:rsidR="00233E69">
        <w:t>,</w:t>
      </w:r>
      <w:r w:rsidR="005C1F28" w:rsidRPr="008C25D0">
        <w:t xml:space="preserve"> or </w:t>
      </w:r>
      <w:r w:rsidR="00DA3A22">
        <w:t>u</w:t>
      </w:r>
      <w:r w:rsidR="00DA3A22" w:rsidRPr="008C25D0">
        <w:t>niversity</w:t>
      </w:r>
      <w:r w:rsidRPr="008C25D0">
        <w:t xml:space="preserve">.  The component of the portfolio dealing with service and professional activity should provide evidence that the candidate is a conscientious member of </w:t>
      </w:r>
      <w:r w:rsidR="00DA3A22">
        <w:t>d</w:t>
      </w:r>
      <w:r w:rsidR="00DA3A22" w:rsidRPr="008C25D0">
        <w:t xml:space="preserve">epartmental </w:t>
      </w:r>
      <w:r w:rsidRPr="008C25D0">
        <w:t xml:space="preserve">and/or </w:t>
      </w:r>
      <w:r w:rsidR="00DA3A22">
        <w:t>c</w:t>
      </w:r>
      <w:r w:rsidR="00DA3A22" w:rsidRPr="008C25D0">
        <w:t xml:space="preserve">ollege </w:t>
      </w:r>
      <w:r w:rsidRPr="008C25D0">
        <w:t>committees.  In addition, the candidate should have demonstrated that he</w:t>
      </w:r>
      <w:r w:rsidR="00DA3A22">
        <w:t xml:space="preserve"> or </w:t>
      </w:r>
      <w:r w:rsidRPr="008C25D0">
        <w:t>she has the potential to provide university-wide and national service within an area related to his</w:t>
      </w:r>
      <w:r w:rsidR="00DA3A22">
        <w:t xml:space="preserve"> or </w:t>
      </w:r>
      <w:r w:rsidRPr="008C25D0">
        <w:t xml:space="preserve">her appointment.  Specific examples of ways to fulfill service expectations are described in Appendix 2, Table C.  </w:t>
      </w:r>
    </w:p>
    <w:p w:rsidR="00365416" w:rsidRPr="008C25D0" w:rsidRDefault="00365416">
      <w:pPr>
        <w:spacing w:line="360" w:lineRule="auto"/>
        <w:rPr>
          <w:sz w:val="22"/>
        </w:rPr>
      </w:pPr>
    </w:p>
    <w:p w:rsidR="00365416" w:rsidRPr="008C25D0" w:rsidRDefault="00365416" w:rsidP="00F35897">
      <w:pPr>
        <w:pStyle w:val="Heading2"/>
        <w:ind w:left="720" w:hanging="360"/>
        <w:rPr>
          <w:i/>
          <w:sz w:val="22"/>
          <w:u w:val="single"/>
        </w:rPr>
      </w:pPr>
      <w:r w:rsidRPr="008C25D0">
        <w:rPr>
          <w:i/>
          <w:sz w:val="22"/>
          <w:u w:val="single"/>
        </w:rPr>
        <w:t xml:space="preserve">Promotion from Associate Professor to Full Professor </w:t>
      </w:r>
    </w:p>
    <w:p w:rsidR="00365416" w:rsidRPr="008C25D0" w:rsidRDefault="00365416">
      <w:pPr>
        <w:rPr>
          <w:sz w:val="22"/>
        </w:rPr>
      </w:pPr>
    </w:p>
    <w:p w:rsidR="00365416" w:rsidRPr="008C25D0" w:rsidRDefault="00365416" w:rsidP="00F35897">
      <w:pPr>
        <w:ind w:left="720" w:hanging="360"/>
        <w:rPr>
          <w:b/>
          <w:sz w:val="22"/>
        </w:rPr>
      </w:pPr>
      <w:r w:rsidRPr="008C25D0">
        <w:rPr>
          <w:b/>
          <w:sz w:val="22"/>
        </w:rPr>
        <w:t>(1)</w:t>
      </w:r>
      <w:r w:rsidRPr="008C25D0">
        <w:rPr>
          <w:b/>
          <w:sz w:val="22"/>
        </w:rPr>
        <w:tab/>
        <w:t xml:space="preserve">Teaching </w:t>
      </w:r>
    </w:p>
    <w:p w:rsidR="00365416" w:rsidRPr="008C25D0" w:rsidRDefault="00365416">
      <w:pPr>
        <w:ind w:left="360" w:hanging="360"/>
        <w:rPr>
          <w:sz w:val="22"/>
        </w:rPr>
      </w:pPr>
    </w:p>
    <w:p w:rsidR="00365416" w:rsidRPr="008C25D0" w:rsidRDefault="00365416" w:rsidP="00F35897">
      <w:pPr>
        <w:ind w:left="720"/>
        <w:rPr>
          <w:sz w:val="22"/>
          <w:szCs w:val="22"/>
        </w:rPr>
      </w:pPr>
      <w:r w:rsidRPr="008C25D0">
        <w:rPr>
          <w:sz w:val="22"/>
        </w:rPr>
        <w:t xml:space="preserve">The component of the portfolio dealing with teaching should provide evidence of continued teaching excellence and development.  This level will be reflected in teaching evaluations, course syllabi and other instructional materials, teaching awards and other recognition of teaching excellence, and other </w:t>
      </w:r>
      <w:r w:rsidRPr="008C25D0">
        <w:rPr>
          <w:sz w:val="22"/>
          <w:szCs w:val="22"/>
        </w:rPr>
        <w:t xml:space="preserve">instructional activity. (See more examples provided in Appendix 2, Table A.) </w:t>
      </w:r>
    </w:p>
    <w:p w:rsidR="00365416" w:rsidRPr="008C25D0" w:rsidRDefault="00365416">
      <w:pPr>
        <w:ind w:left="360" w:hanging="360"/>
        <w:rPr>
          <w:sz w:val="22"/>
        </w:rPr>
      </w:pPr>
    </w:p>
    <w:p w:rsidR="00365416" w:rsidRPr="008C25D0" w:rsidRDefault="00365416" w:rsidP="00F35897">
      <w:pPr>
        <w:ind w:left="720" w:hanging="360"/>
        <w:rPr>
          <w:b/>
          <w:sz w:val="22"/>
        </w:rPr>
      </w:pPr>
      <w:r w:rsidRPr="008C25D0">
        <w:rPr>
          <w:b/>
          <w:sz w:val="22"/>
        </w:rPr>
        <w:t>(2)</w:t>
      </w:r>
      <w:r w:rsidRPr="008C25D0">
        <w:rPr>
          <w:b/>
          <w:sz w:val="22"/>
        </w:rPr>
        <w:tab/>
        <w:t xml:space="preserve">Research </w:t>
      </w:r>
    </w:p>
    <w:p w:rsidR="00365416" w:rsidRPr="008C25D0" w:rsidRDefault="00365416">
      <w:pPr>
        <w:ind w:left="360" w:hanging="360"/>
        <w:rPr>
          <w:sz w:val="22"/>
        </w:rPr>
      </w:pPr>
    </w:p>
    <w:p w:rsidR="00365416" w:rsidRDefault="00365416" w:rsidP="00F35897">
      <w:pPr>
        <w:pStyle w:val="BodyTextIndent2"/>
        <w:ind w:left="720"/>
        <w:rPr>
          <w:szCs w:val="22"/>
        </w:rPr>
      </w:pPr>
      <w:r w:rsidRPr="008C25D0">
        <w:rPr>
          <w:szCs w:val="22"/>
        </w:rPr>
        <w:t>The component of the portfolio dealing with research activities should provide solid evidence that the candidate has acquired a national or international reputation within an area related to his</w:t>
      </w:r>
      <w:r w:rsidR="00DA3A22">
        <w:rPr>
          <w:szCs w:val="22"/>
        </w:rPr>
        <w:t xml:space="preserve"> - </w:t>
      </w:r>
      <w:r w:rsidRPr="008C25D0">
        <w:rPr>
          <w:szCs w:val="22"/>
        </w:rPr>
        <w:t xml:space="preserve">her field of appointment and that the candidate has assumed a leadership role in significant research activities.  </w:t>
      </w:r>
      <w:r w:rsidR="00F420CD" w:rsidRPr="0064554F">
        <w:rPr>
          <w:szCs w:val="22"/>
        </w:rPr>
        <w:t>In particular, a pattern of consistent productive behavior will be expected with an emphasis on the last six years</w:t>
      </w:r>
      <w:r w:rsidR="00C50998">
        <w:rPr>
          <w:szCs w:val="22"/>
        </w:rPr>
        <w:t xml:space="preserve"> or since the last promotion, whichever is shorter</w:t>
      </w:r>
      <w:r w:rsidR="00F420CD" w:rsidRPr="0064554F">
        <w:rPr>
          <w:szCs w:val="22"/>
        </w:rPr>
        <w:t>.</w:t>
      </w:r>
      <w:r w:rsidR="00F420CD" w:rsidRPr="008C25D0">
        <w:rPr>
          <w:szCs w:val="22"/>
        </w:rPr>
        <w:t xml:space="preserve">  </w:t>
      </w:r>
      <w:r w:rsidRPr="008C25D0">
        <w:rPr>
          <w:szCs w:val="22"/>
        </w:rPr>
        <w:t xml:space="preserve">In general, single-authored </w:t>
      </w:r>
      <w:r w:rsidR="00AF32D9" w:rsidRPr="008C25D0">
        <w:rPr>
          <w:szCs w:val="22"/>
        </w:rPr>
        <w:t xml:space="preserve">or </w:t>
      </w:r>
      <w:r w:rsidRPr="008C25D0">
        <w:rPr>
          <w:szCs w:val="22"/>
        </w:rPr>
        <w:t xml:space="preserve">first-authored works are strong evidence of the ability to lead research efforts.  </w:t>
      </w:r>
      <w:r w:rsidRPr="008C25D0">
        <w:rPr>
          <w:szCs w:val="22"/>
        </w:rPr>
        <w:lastRenderedPageBreak/>
        <w:t>In addition, invited articles, research awards at the national or international level, professional recognition of scholarship, fellowships awarded from external entities, invitations to reprint articles, citation lists</w:t>
      </w:r>
      <w:r w:rsidR="00233E69">
        <w:rPr>
          <w:szCs w:val="22"/>
        </w:rPr>
        <w:t>,</w:t>
      </w:r>
      <w:r w:rsidRPr="008C25D0">
        <w:rPr>
          <w:szCs w:val="22"/>
        </w:rPr>
        <w:t xml:space="preserve"> and other scholarly activity will be considered as evidence of national or international reputation. (</w:t>
      </w:r>
      <w:r w:rsidRPr="008C25D0">
        <w:t>See more examples provided in Appendix 2, Table B.)</w:t>
      </w:r>
      <w:r w:rsidRPr="008C25D0">
        <w:rPr>
          <w:szCs w:val="22"/>
        </w:rPr>
        <w:t xml:space="preserve"> The primary consideration shall be evidence of activity </w:t>
      </w:r>
      <w:r w:rsidRPr="008C25D0">
        <w:rPr>
          <w:bCs/>
          <w:szCs w:val="22"/>
        </w:rPr>
        <w:t>since</w:t>
      </w:r>
      <w:r w:rsidRPr="008C25D0">
        <w:rPr>
          <w:szCs w:val="22"/>
        </w:rPr>
        <w:t xml:space="preserve"> the </w:t>
      </w:r>
      <w:r w:rsidR="00F420CD" w:rsidRPr="0064554F">
        <w:rPr>
          <w:szCs w:val="22"/>
        </w:rPr>
        <w:t>most recent</w:t>
      </w:r>
      <w:r w:rsidR="00F420CD">
        <w:rPr>
          <w:szCs w:val="22"/>
        </w:rPr>
        <w:t xml:space="preserve"> </w:t>
      </w:r>
      <w:r w:rsidRPr="008C25D0">
        <w:rPr>
          <w:szCs w:val="22"/>
        </w:rPr>
        <w:t>promotion.</w:t>
      </w:r>
      <w:r w:rsidR="008B1921" w:rsidRPr="008C25D0">
        <w:rPr>
          <w:szCs w:val="22"/>
        </w:rPr>
        <w:t xml:space="preserve">  </w:t>
      </w:r>
      <w:r w:rsidRPr="008C25D0">
        <w:rPr>
          <w:szCs w:val="22"/>
        </w:rPr>
        <w:t xml:space="preserve">The candidate must demonstrate a pattern of productivity (both quantity and quality) that is at a minimum consistent with the Department’s expectations imposed for the </w:t>
      </w:r>
      <w:r w:rsidR="00DA3A22">
        <w:rPr>
          <w:szCs w:val="22"/>
        </w:rPr>
        <w:t>a</w:t>
      </w:r>
      <w:r w:rsidR="00DA3A22" w:rsidRPr="008C25D0">
        <w:rPr>
          <w:szCs w:val="22"/>
        </w:rPr>
        <w:t xml:space="preserve">ssociate </w:t>
      </w:r>
      <w:r w:rsidR="00DA3A22">
        <w:rPr>
          <w:szCs w:val="22"/>
        </w:rPr>
        <w:t>p</w:t>
      </w:r>
      <w:r w:rsidR="00DA3A22" w:rsidRPr="008C25D0">
        <w:rPr>
          <w:szCs w:val="22"/>
        </w:rPr>
        <w:t xml:space="preserve">rofessor </w:t>
      </w:r>
      <w:r w:rsidRPr="008C25D0">
        <w:rPr>
          <w:szCs w:val="22"/>
        </w:rPr>
        <w:t>promotion. Candidates are also expected to have made efforts to garner extramural support for their research efforts. Submitting proposals and gaining external funds that contribute to the goals of the Department and CBA will be positively weighted.</w:t>
      </w:r>
    </w:p>
    <w:p w:rsidR="006946AA" w:rsidRDefault="006946AA" w:rsidP="00F35897">
      <w:pPr>
        <w:pStyle w:val="BodyTextIndent2"/>
        <w:ind w:left="720"/>
        <w:rPr>
          <w:szCs w:val="22"/>
        </w:rPr>
      </w:pPr>
    </w:p>
    <w:p w:rsidR="006946AA" w:rsidRPr="0064554F" w:rsidRDefault="006946AA" w:rsidP="006946AA">
      <w:pPr>
        <w:pStyle w:val="BodyTextIndent2"/>
        <w:ind w:left="720"/>
        <w:rPr>
          <w:szCs w:val="22"/>
        </w:rPr>
      </w:pPr>
      <w:r w:rsidRPr="0064554F">
        <w:t xml:space="preserve">Those seeking promotions to full professor must have their research reviewed by external experts. During the first week of the fall semester the candidate must submit a research portfolio that will be used for external evaluation. Additionally, the candidate is required to identify at least two external reviewers who are in a position to assess the impact of his or her research. The </w:t>
      </w:r>
      <w:r w:rsidR="00233E69">
        <w:t>D</w:t>
      </w:r>
      <w:r w:rsidRPr="0064554F">
        <w:t xml:space="preserve">epartment </w:t>
      </w:r>
      <w:r w:rsidR="00233E69">
        <w:t>H</w:t>
      </w:r>
      <w:r w:rsidRPr="0064554F">
        <w:t xml:space="preserve">ead is required to use at least one of these referees in the external review process. The </w:t>
      </w:r>
      <w:r w:rsidR="00233E69">
        <w:t>D</w:t>
      </w:r>
      <w:r w:rsidRPr="0064554F">
        <w:t xml:space="preserve">epartment </w:t>
      </w:r>
      <w:r w:rsidR="00233E69">
        <w:t>H</w:t>
      </w:r>
      <w:r w:rsidRPr="0064554F">
        <w:t xml:space="preserve">ead must also independently identify and solicit feedback from at least one additional </w:t>
      </w:r>
      <w:r w:rsidR="00233E69">
        <w:t xml:space="preserve">external </w:t>
      </w:r>
      <w:r w:rsidRPr="0064554F">
        <w:t>referee. At a minimum, external reviews will be requested from two experts that are in a position to evaluate the candidate’s research record of accomplishment.</w:t>
      </w:r>
      <w:r w:rsidR="00982CAA" w:rsidRPr="0064554F">
        <w:t xml:space="preserve"> All external reviewers must be tenured full professors and may not be co</w:t>
      </w:r>
      <w:r w:rsidR="00C60E97">
        <w:t>-</w:t>
      </w:r>
      <w:r w:rsidR="00982CAA" w:rsidRPr="0064554F">
        <w:t>authors</w:t>
      </w:r>
      <w:r w:rsidR="00C50998">
        <w:t>, major professor, or graduate school classmates</w:t>
      </w:r>
      <w:r w:rsidR="00982CAA" w:rsidRPr="0064554F">
        <w:t xml:space="preserve"> of the candidate.</w:t>
      </w:r>
    </w:p>
    <w:p w:rsidR="00517196" w:rsidRDefault="00517196" w:rsidP="00F35897">
      <w:pPr>
        <w:pStyle w:val="BodyTextIndent2"/>
        <w:ind w:left="720"/>
        <w:rPr>
          <w:szCs w:val="22"/>
        </w:rPr>
      </w:pPr>
    </w:p>
    <w:p w:rsidR="00365416" w:rsidRPr="008C25D0" w:rsidRDefault="00365416" w:rsidP="00F35897">
      <w:pPr>
        <w:ind w:left="720" w:hanging="360"/>
        <w:rPr>
          <w:b/>
          <w:sz w:val="22"/>
        </w:rPr>
      </w:pPr>
      <w:r w:rsidRPr="008C25D0">
        <w:rPr>
          <w:b/>
          <w:sz w:val="22"/>
        </w:rPr>
        <w:t>(3)</w:t>
      </w:r>
      <w:r w:rsidRPr="008C25D0">
        <w:rPr>
          <w:b/>
          <w:sz w:val="22"/>
        </w:rPr>
        <w:tab/>
        <w:t xml:space="preserve">Service </w:t>
      </w:r>
    </w:p>
    <w:p w:rsidR="00365416" w:rsidRPr="008C25D0" w:rsidRDefault="00365416">
      <w:pPr>
        <w:ind w:left="360" w:hanging="360"/>
        <w:rPr>
          <w:sz w:val="22"/>
        </w:rPr>
      </w:pPr>
    </w:p>
    <w:p w:rsidR="00365416" w:rsidRPr="008C25D0" w:rsidRDefault="00365416" w:rsidP="00F35897">
      <w:pPr>
        <w:ind w:left="720"/>
        <w:rPr>
          <w:sz w:val="22"/>
          <w:szCs w:val="22"/>
        </w:rPr>
      </w:pPr>
      <w:r w:rsidRPr="008C25D0">
        <w:rPr>
          <w:sz w:val="22"/>
        </w:rPr>
        <w:t xml:space="preserve">The component of the portfolio dealing with service and professional activity should provide evidence that the candidate has a consistent record of providing service and leadership on </w:t>
      </w:r>
      <w:r w:rsidR="002B4D7C">
        <w:rPr>
          <w:sz w:val="22"/>
        </w:rPr>
        <w:t>d</w:t>
      </w:r>
      <w:r w:rsidR="002B4D7C" w:rsidRPr="008C25D0">
        <w:rPr>
          <w:sz w:val="22"/>
        </w:rPr>
        <w:t>epartmental</w:t>
      </w:r>
      <w:r w:rsidRPr="008C25D0">
        <w:rPr>
          <w:sz w:val="22"/>
        </w:rPr>
        <w:t xml:space="preserve">, </w:t>
      </w:r>
      <w:r w:rsidR="002B4D7C">
        <w:rPr>
          <w:sz w:val="22"/>
        </w:rPr>
        <w:t>c</w:t>
      </w:r>
      <w:r w:rsidR="002B4D7C" w:rsidRPr="008C25D0">
        <w:rPr>
          <w:sz w:val="22"/>
        </w:rPr>
        <w:t>ollege</w:t>
      </w:r>
      <w:r w:rsidRPr="008C25D0">
        <w:rPr>
          <w:sz w:val="22"/>
        </w:rPr>
        <w:t xml:space="preserve">, and </w:t>
      </w:r>
      <w:r w:rsidR="002B4D7C">
        <w:rPr>
          <w:sz w:val="22"/>
        </w:rPr>
        <w:t>u</w:t>
      </w:r>
      <w:r w:rsidR="002B4D7C" w:rsidRPr="008C25D0">
        <w:rPr>
          <w:sz w:val="22"/>
        </w:rPr>
        <w:t xml:space="preserve">niversity </w:t>
      </w:r>
      <w:r w:rsidRPr="008C25D0">
        <w:rPr>
          <w:sz w:val="22"/>
        </w:rPr>
        <w:t>committees, and service to external professional entities. The need for shared governance and continuous improvement in our collective teaching and research efforts depend</w:t>
      </w:r>
      <w:r w:rsidR="00233E69">
        <w:rPr>
          <w:sz w:val="22"/>
        </w:rPr>
        <w:t>s</w:t>
      </w:r>
      <w:r w:rsidRPr="008C25D0">
        <w:rPr>
          <w:sz w:val="22"/>
        </w:rPr>
        <w:t xml:space="preserve"> heavily on senior faculty. Candidates for full professor need to demonstrate that they will continue to contribute to requisite institut</w:t>
      </w:r>
      <w:r w:rsidR="00BD5BE5">
        <w:rPr>
          <w:sz w:val="22"/>
        </w:rPr>
        <w:t xml:space="preserve">ion-building efforts. </w:t>
      </w:r>
      <w:proofErr w:type="gramStart"/>
      <w:r w:rsidR="00BD5BE5">
        <w:rPr>
          <w:sz w:val="22"/>
        </w:rPr>
        <w:t xml:space="preserve">Effective </w:t>
      </w:r>
      <w:r w:rsidRPr="008C25D0">
        <w:rPr>
          <w:sz w:val="22"/>
        </w:rPr>
        <w:t xml:space="preserve">interaction with and </w:t>
      </w:r>
      <w:r w:rsidRPr="008C25D0">
        <w:rPr>
          <w:sz w:val="22"/>
          <w:szCs w:val="22"/>
        </w:rPr>
        <w:t xml:space="preserve">mentoring of junior faculty </w:t>
      </w:r>
      <w:r w:rsidR="00BD5BE5">
        <w:rPr>
          <w:sz w:val="22"/>
          <w:szCs w:val="22"/>
        </w:rPr>
        <w:t xml:space="preserve">members </w:t>
      </w:r>
      <w:r w:rsidRPr="008C25D0">
        <w:rPr>
          <w:sz w:val="22"/>
          <w:szCs w:val="22"/>
        </w:rPr>
        <w:t>will also be considered.</w:t>
      </w:r>
      <w:proofErr w:type="gramEnd"/>
      <w:r w:rsidRPr="008C25D0">
        <w:rPr>
          <w:sz w:val="22"/>
          <w:szCs w:val="22"/>
        </w:rPr>
        <w:t xml:space="preserve"> (See more examples provided in Appendix 2, Table C.)</w:t>
      </w:r>
    </w:p>
    <w:p w:rsidR="00365416" w:rsidRPr="008C25D0" w:rsidRDefault="00365416">
      <w:pPr>
        <w:rPr>
          <w:sz w:val="22"/>
        </w:rPr>
      </w:pPr>
    </w:p>
    <w:p w:rsidR="00365416" w:rsidRPr="008C25D0" w:rsidRDefault="00365416" w:rsidP="00F35897">
      <w:pPr>
        <w:ind w:left="360"/>
        <w:rPr>
          <w:b/>
          <w:sz w:val="22"/>
        </w:rPr>
      </w:pPr>
      <w:r w:rsidRPr="008C25D0">
        <w:rPr>
          <w:b/>
          <w:sz w:val="22"/>
        </w:rPr>
        <w:t>Note on Collegiality</w:t>
      </w:r>
    </w:p>
    <w:p w:rsidR="00365416" w:rsidRPr="008C25D0" w:rsidRDefault="00365416">
      <w:pPr>
        <w:rPr>
          <w:sz w:val="22"/>
        </w:rPr>
      </w:pPr>
    </w:p>
    <w:p w:rsidR="00365416" w:rsidRDefault="00365416" w:rsidP="00F35897">
      <w:pPr>
        <w:ind w:left="720"/>
        <w:rPr>
          <w:sz w:val="22"/>
        </w:rPr>
      </w:pPr>
      <w:r w:rsidRPr="008C25D0">
        <w:rPr>
          <w:sz w:val="22"/>
        </w:rPr>
        <w:t>In addition to the research, teaching and service components of the portfolio, collegiality will be explicitly considered in making all promotion decisions.  Minor interpersonal style issues that do not affect mission-related contributions will not be considered, nor will professional or philosophical differences enter into this decision.  The Department of Management encourages a wide set of perspectives on various academic issues and encourages free thought, vigorous debate and expression of these views in a professional manner.  Relevant collegiality factors include interpersonal integrity, adherence to professional ethics, effective management of disagreement and conflict, cooperation, generosity in intellectual resources and mutual respect. Collegiality is fundamentally important to shared governance and the requirement for all faculty members to contribute in building a better institution and helping the Department and CBA collectively reach increasingly challenging goals and requirements.</w:t>
      </w:r>
    </w:p>
    <w:p w:rsidR="006946AA" w:rsidRDefault="006946AA" w:rsidP="006946AA">
      <w:pPr>
        <w:ind w:left="720"/>
        <w:rPr>
          <w:sz w:val="22"/>
        </w:rPr>
      </w:pPr>
    </w:p>
    <w:p w:rsidR="002C2FF3" w:rsidRDefault="002C2FF3" w:rsidP="006946AA">
      <w:pPr>
        <w:ind w:left="720"/>
        <w:rPr>
          <w:sz w:val="22"/>
        </w:rPr>
      </w:pPr>
    </w:p>
    <w:p w:rsidR="00F62F04" w:rsidRDefault="00F62F04" w:rsidP="006946AA">
      <w:pPr>
        <w:ind w:left="720"/>
        <w:rPr>
          <w:sz w:val="22"/>
        </w:rPr>
      </w:pPr>
    </w:p>
    <w:p w:rsidR="00F62F04" w:rsidRDefault="00F62F04" w:rsidP="006946AA">
      <w:pPr>
        <w:ind w:left="720"/>
        <w:rPr>
          <w:sz w:val="22"/>
        </w:rPr>
      </w:pPr>
    </w:p>
    <w:p w:rsidR="002C2FF3" w:rsidRDefault="002C2FF3" w:rsidP="006946AA">
      <w:pPr>
        <w:ind w:left="720"/>
        <w:rPr>
          <w:sz w:val="22"/>
        </w:rPr>
      </w:pPr>
    </w:p>
    <w:p w:rsidR="00F35897" w:rsidRPr="00D57715" w:rsidRDefault="00F35897">
      <w:pPr>
        <w:spacing w:line="480" w:lineRule="auto"/>
        <w:rPr>
          <w:b/>
          <w:sz w:val="24"/>
          <w:szCs w:val="24"/>
        </w:rPr>
      </w:pPr>
      <w:r w:rsidRPr="00D57715">
        <w:rPr>
          <w:b/>
          <w:sz w:val="24"/>
          <w:szCs w:val="24"/>
        </w:rPr>
        <w:lastRenderedPageBreak/>
        <w:t>II.B. Mid-Probationary Review</w:t>
      </w:r>
    </w:p>
    <w:p w:rsidR="00365416" w:rsidRPr="008C25D0" w:rsidRDefault="00F35897" w:rsidP="00F35897">
      <w:pPr>
        <w:ind w:left="360"/>
        <w:rPr>
          <w:b/>
          <w:sz w:val="22"/>
        </w:rPr>
      </w:pPr>
      <w:r>
        <w:rPr>
          <w:b/>
          <w:sz w:val="22"/>
        </w:rPr>
        <w:t xml:space="preserve">1. </w:t>
      </w:r>
      <w:r w:rsidR="00365416" w:rsidRPr="008C25D0">
        <w:rPr>
          <w:b/>
          <w:sz w:val="22"/>
        </w:rPr>
        <w:t xml:space="preserve"> Procedures/Guidelines</w:t>
      </w:r>
    </w:p>
    <w:p w:rsidR="00365416" w:rsidRPr="008C25D0" w:rsidRDefault="00365416">
      <w:pPr>
        <w:rPr>
          <w:b/>
          <w:sz w:val="22"/>
        </w:rPr>
      </w:pPr>
    </w:p>
    <w:p w:rsidR="00365416" w:rsidRPr="008C25D0" w:rsidRDefault="00365416" w:rsidP="00F35897">
      <w:pPr>
        <w:tabs>
          <w:tab w:val="left" w:pos="360"/>
        </w:tabs>
        <w:ind w:left="360"/>
        <w:rPr>
          <w:sz w:val="22"/>
        </w:rPr>
      </w:pPr>
      <w:r w:rsidRPr="008C25D0">
        <w:rPr>
          <w:sz w:val="22"/>
        </w:rPr>
        <w:t xml:space="preserve">The following procedures adhere to the provisions of Sections C92.1-C92.4 of the </w:t>
      </w:r>
      <w:r w:rsidR="00CC3F00">
        <w:rPr>
          <w:i/>
          <w:sz w:val="22"/>
        </w:rPr>
        <w:t>University Handbook</w:t>
      </w:r>
      <w:r w:rsidRPr="008C25D0">
        <w:rPr>
          <w:sz w:val="22"/>
        </w:rPr>
        <w:t>.</w:t>
      </w:r>
    </w:p>
    <w:p w:rsidR="00365416" w:rsidRPr="008C25D0" w:rsidRDefault="00365416">
      <w:pPr>
        <w:rPr>
          <w:sz w:val="22"/>
        </w:rPr>
      </w:pPr>
    </w:p>
    <w:p w:rsidR="00365416" w:rsidRPr="008C25D0" w:rsidRDefault="00365416" w:rsidP="00F35897">
      <w:pPr>
        <w:ind w:left="720" w:hanging="360"/>
        <w:rPr>
          <w:sz w:val="22"/>
        </w:rPr>
      </w:pPr>
      <w:r w:rsidRPr="008C25D0">
        <w:rPr>
          <w:sz w:val="22"/>
        </w:rPr>
        <w:t>(1)</w:t>
      </w:r>
      <w:r w:rsidRPr="008C25D0">
        <w:rPr>
          <w:sz w:val="22"/>
        </w:rPr>
        <w:tab/>
        <w:t xml:space="preserve">Unless otherwise stated in the candidate's contract, the mid-probationary review is to occur during the third year of appointment.  The Department will conduct the mid-probationary review as an aspect of its reappointment decision for that year. </w:t>
      </w:r>
    </w:p>
    <w:p w:rsidR="00365416" w:rsidRPr="008C25D0" w:rsidRDefault="00365416" w:rsidP="00F35897">
      <w:pPr>
        <w:ind w:left="720" w:hanging="360"/>
        <w:rPr>
          <w:sz w:val="22"/>
        </w:rPr>
      </w:pPr>
    </w:p>
    <w:p w:rsidR="00365416" w:rsidRPr="008C25D0" w:rsidRDefault="00365416" w:rsidP="00F35897">
      <w:pPr>
        <w:ind w:left="720"/>
        <w:rPr>
          <w:sz w:val="22"/>
        </w:rPr>
      </w:pPr>
      <w:r w:rsidRPr="008C25D0">
        <w:rPr>
          <w:sz w:val="22"/>
        </w:rPr>
        <w:t xml:space="preserve">In accordance with the </w:t>
      </w:r>
      <w:r w:rsidR="00CC3F00">
        <w:rPr>
          <w:i/>
          <w:sz w:val="22"/>
        </w:rPr>
        <w:t>University Handbook</w:t>
      </w:r>
      <w:r w:rsidRPr="008C25D0">
        <w:rPr>
          <w:sz w:val="22"/>
        </w:rPr>
        <w:t>, the mid-probationary review is intended to provide the faculty member with substantive feedback regarding his</w:t>
      </w:r>
      <w:r w:rsidR="002B4D7C">
        <w:rPr>
          <w:sz w:val="22"/>
        </w:rPr>
        <w:t xml:space="preserve"> or </w:t>
      </w:r>
      <w:r w:rsidRPr="008C25D0">
        <w:rPr>
          <w:sz w:val="22"/>
        </w:rPr>
        <w:t>her a</w:t>
      </w:r>
      <w:r w:rsidR="005C1F28" w:rsidRPr="008C25D0">
        <w:rPr>
          <w:sz w:val="22"/>
        </w:rPr>
        <w:t>ccomplishments relative to the D</w:t>
      </w:r>
      <w:r w:rsidRPr="008C25D0">
        <w:rPr>
          <w:sz w:val="22"/>
        </w:rPr>
        <w:t>epartment's tenure criteria.  A positive mid-probationary review does not ensure that tenure will be granted in the future.  Likewise, a negative review does not necessarily mean that tenure will be denied.</w:t>
      </w:r>
    </w:p>
    <w:p w:rsidR="00365416" w:rsidRPr="008C25D0" w:rsidRDefault="00365416" w:rsidP="00F35897">
      <w:pPr>
        <w:ind w:left="720" w:hanging="360"/>
        <w:rPr>
          <w:sz w:val="22"/>
        </w:rPr>
      </w:pPr>
    </w:p>
    <w:p w:rsidR="00365416" w:rsidRPr="008C25D0" w:rsidRDefault="00365416" w:rsidP="00F35897">
      <w:pPr>
        <w:pStyle w:val="BodyTextIndent"/>
        <w:tabs>
          <w:tab w:val="clear" w:pos="360"/>
        </w:tabs>
        <w:ind w:left="720"/>
      </w:pPr>
      <w:r w:rsidRPr="008C25D0">
        <w:t>(2)</w:t>
      </w:r>
      <w:r w:rsidRPr="008C25D0">
        <w:tab/>
        <w:t xml:space="preserve">In the first week of </w:t>
      </w:r>
      <w:r w:rsidR="00615D3B">
        <w:t>f</w:t>
      </w:r>
      <w:r w:rsidRPr="008C25D0">
        <w:t xml:space="preserve">all semester, the Department Head will notify </w:t>
      </w:r>
      <w:r w:rsidR="002B4D7C">
        <w:t>the</w:t>
      </w:r>
      <w:r w:rsidR="002B4D7C" w:rsidRPr="008C25D0">
        <w:t xml:space="preserve"> </w:t>
      </w:r>
      <w:r w:rsidRPr="008C25D0">
        <w:t>candidate for reappointment of the date by which he</w:t>
      </w:r>
      <w:r w:rsidR="002B4D7C">
        <w:t xml:space="preserve"> or </w:t>
      </w:r>
      <w:r w:rsidRPr="008C25D0">
        <w:t>she should submit documentation of his</w:t>
      </w:r>
      <w:r w:rsidR="002B4D7C">
        <w:t xml:space="preserve"> or </w:t>
      </w:r>
      <w:r w:rsidRPr="008C25D0">
        <w:t xml:space="preserve">her professional achievements during the evaluation period.  The documentation provided should be similar to that provided for tenure and/or promotion decisions. </w:t>
      </w:r>
    </w:p>
    <w:p w:rsidR="00365416" w:rsidRPr="008C25D0" w:rsidRDefault="00365416">
      <w:pPr>
        <w:pStyle w:val="BodyTextIndent"/>
      </w:pPr>
    </w:p>
    <w:p w:rsidR="00365416" w:rsidRPr="008C25D0" w:rsidRDefault="00365416" w:rsidP="00F35897">
      <w:pPr>
        <w:pStyle w:val="BodyTextIndent"/>
        <w:tabs>
          <w:tab w:val="clear" w:pos="360"/>
          <w:tab w:val="left" w:pos="720"/>
        </w:tabs>
        <w:ind w:left="720"/>
      </w:pPr>
      <w:r w:rsidRPr="008C25D0">
        <w:t>(3)</w:t>
      </w:r>
      <w:r w:rsidRPr="008C25D0">
        <w:tab/>
        <w:t>The Department Head will make the candidate's file available to all tenured faculty members for review.  Prior to the vote any member of the tenured faculty may request that the candidate meet with the tenured faculty to discuss, for purposes of clarification, the evidence of achievement submitted by the candidate.</w:t>
      </w:r>
    </w:p>
    <w:p w:rsidR="00365416" w:rsidRPr="008C25D0" w:rsidRDefault="00365416" w:rsidP="00F35897">
      <w:pPr>
        <w:tabs>
          <w:tab w:val="left" w:pos="720"/>
        </w:tabs>
        <w:ind w:left="720" w:hanging="360"/>
        <w:rPr>
          <w:sz w:val="22"/>
        </w:rPr>
      </w:pPr>
    </w:p>
    <w:p w:rsidR="00365416" w:rsidRPr="008C25D0" w:rsidRDefault="00365416" w:rsidP="00F35897">
      <w:pPr>
        <w:tabs>
          <w:tab w:val="left" w:pos="720"/>
        </w:tabs>
        <w:ind w:left="720" w:hanging="360"/>
        <w:rPr>
          <w:sz w:val="22"/>
        </w:rPr>
      </w:pPr>
      <w:r w:rsidRPr="008C25D0">
        <w:rPr>
          <w:sz w:val="22"/>
        </w:rPr>
        <w:t>(4)</w:t>
      </w:r>
      <w:r w:rsidRPr="008C25D0">
        <w:rPr>
          <w:sz w:val="22"/>
        </w:rPr>
        <w:tab/>
        <w:t xml:space="preserve">The Department Head will call a meeting of tenured faculty for the purpose of discussing and voting on whether the candidate has made acceptable progress towards tenure.  The vote on any candidate shall be taken by secret ballot.  Faculty unable to attend may request an absentee ballot.  </w:t>
      </w:r>
    </w:p>
    <w:p w:rsidR="00365416" w:rsidRPr="008C25D0" w:rsidRDefault="00365416" w:rsidP="00F35897">
      <w:pPr>
        <w:tabs>
          <w:tab w:val="left" w:pos="720"/>
        </w:tabs>
        <w:ind w:left="720" w:hanging="360"/>
        <w:rPr>
          <w:sz w:val="22"/>
        </w:rPr>
      </w:pPr>
    </w:p>
    <w:p w:rsidR="00365416" w:rsidRPr="008C25D0" w:rsidRDefault="00365416" w:rsidP="00F35897">
      <w:pPr>
        <w:tabs>
          <w:tab w:val="left" w:pos="720"/>
        </w:tabs>
        <w:ind w:left="720" w:hanging="360"/>
        <w:rPr>
          <w:sz w:val="22"/>
        </w:rPr>
      </w:pPr>
      <w:r w:rsidRPr="008C25D0">
        <w:rPr>
          <w:sz w:val="22"/>
        </w:rPr>
        <w:t>(5)</w:t>
      </w:r>
      <w:r w:rsidRPr="008C25D0">
        <w:rPr>
          <w:sz w:val="22"/>
        </w:rPr>
        <w:tab/>
        <w:t>The Department Head will report the vote of the tenured faculty to the candidate and explain in general terms both the major points under discussion and any matters the faculty want forwarded to the candidate.</w:t>
      </w:r>
    </w:p>
    <w:p w:rsidR="00365416" w:rsidRPr="008C25D0" w:rsidRDefault="00365416" w:rsidP="00F35897">
      <w:pPr>
        <w:tabs>
          <w:tab w:val="left" w:pos="720"/>
        </w:tabs>
        <w:ind w:left="720" w:hanging="360"/>
        <w:rPr>
          <w:sz w:val="22"/>
        </w:rPr>
      </w:pPr>
    </w:p>
    <w:p w:rsidR="00365416" w:rsidRPr="008C25D0" w:rsidRDefault="00365416" w:rsidP="00F35897">
      <w:pPr>
        <w:tabs>
          <w:tab w:val="left" w:pos="720"/>
        </w:tabs>
        <w:ind w:left="720" w:hanging="360"/>
        <w:rPr>
          <w:sz w:val="22"/>
        </w:rPr>
      </w:pPr>
      <w:r w:rsidRPr="008C25D0">
        <w:rPr>
          <w:sz w:val="22"/>
        </w:rPr>
        <w:t>(6)</w:t>
      </w:r>
      <w:r w:rsidRPr="008C25D0">
        <w:rPr>
          <w:sz w:val="22"/>
        </w:rPr>
        <w:tab/>
        <w:t xml:space="preserve">On or before the date specified by the Dean, the Department Head will present to the Dean the standard materials that accompany a reappointment decision, plus the substantive input of tenured faculty as regards the candidate's promise for tenure.  </w:t>
      </w:r>
      <w:r w:rsidR="00B075D6" w:rsidRPr="008C25D0">
        <w:rPr>
          <w:sz w:val="22"/>
        </w:rPr>
        <w:t>The candidate’s mid-</w:t>
      </w:r>
      <w:r w:rsidR="00233E69">
        <w:rPr>
          <w:sz w:val="22"/>
        </w:rPr>
        <w:t>probationary</w:t>
      </w:r>
      <w:r w:rsidR="00B075D6" w:rsidRPr="008C25D0">
        <w:rPr>
          <w:sz w:val="22"/>
        </w:rPr>
        <w:t xml:space="preserve"> review file and the </w:t>
      </w:r>
      <w:r w:rsidR="00233E69">
        <w:rPr>
          <w:sz w:val="22"/>
        </w:rPr>
        <w:t>D</w:t>
      </w:r>
      <w:r w:rsidR="00B075D6" w:rsidRPr="008C25D0">
        <w:rPr>
          <w:sz w:val="22"/>
        </w:rPr>
        <w:t xml:space="preserve">epartment’s criteria standards will be forwarded to the college advisory committee.  Once the college advisory committee has made </w:t>
      </w:r>
      <w:r w:rsidR="00B13701">
        <w:rPr>
          <w:sz w:val="22"/>
        </w:rPr>
        <w:t>its</w:t>
      </w:r>
      <w:r w:rsidR="00B13701" w:rsidRPr="008C25D0">
        <w:rPr>
          <w:sz w:val="22"/>
        </w:rPr>
        <w:t xml:space="preserve"> </w:t>
      </w:r>
      <w:r w:rsidR="00B075D6" w:rsidRPr="008C25D0">
        <w:rPr>
          <w:sz w:val="22"/>
        </w:rPr>
        <w:t xml:space="preserve">recommendation, the Dean will provide a letter of assessment to the candidate.  </w:t>
      </w:r>
      <w:r w:rsidRPr="008C25D0">
        <w:rPr>
          <w:sz w:val="22"/>
        </w:rPr>
        <w:t>In cases where the mid-probationary review is unfavorable and a decision not to reappointment the candidate is made, the faculty member must be informed in writing of a decision not to renew his</w:t>
      </w:r>
      <w:r w:rsidR="002B4D7C">
        <w:rPr>
          <w:sz w:val="22"/>
        </w:rPr>
        <w:t xml:space="preserve"> or </w:t>
      </w:r>
      <w:r w:rsidRPr="008C25D0">
        <w:rPr>
          <w:sz w:val="22"/>
        </w:rPr>
        <w:t xml:space="preserve">her appointment in accordance with the "Standards of Notice of Non-Reappointment," Appendix A in the </w:t>
      </w:r>
      <w:r w:rsidR="00CC3F00">
        <w:rPr>
          <w:i/>
          <w:sz w:val="22"/>
        </w:rPr>
        <w:t>University Handbook</w:t>
      </w:r>
      <w:r w:rsidRPr="008C25D0">
        <w:rPr>
          <w:sz w:val="22"/>
        </w:rPr>
        <w:t>.</w:t>
      </w:r>
    </w:p>
    <w:p w:rsidR="00666A13" w:rsidRDefault="00666A13" w:rsidP="00F35897">
      <w:pPr>
        <w:ind w:left="360"/>
        <w:rPr>
          <w:b/>
          <w:sz w:val="22"/>
        </w:rPr>
      </w:pPr>
    </w:p>
    <w:p w:rsidR="00365416" w:rsidRPr="008C25D0" w:rsidRDefault="00F35897" w:rsidP="00F35897">
      <w:pPr>
        <w:ind w:left="360"/>
        <w:rPr>
          <w:sz w:val="22"/>
        </w:rPr>
      </w:pPr>
      <w:r>
        <w:rPr>
          <w:b/>
          <w:sz w:val="22"/>
        </w:rPr>
        <w:t xml:space="preserve">2.  </w:t>
      </w:r>
      <w:r w:rsidR="00365416" w:rsidRPr="008C25D0">
        <w:rPr>
          <w:b/>
          <w:sz w:val="22"/>
        </w:rPr>
        <w:t>Criteria and Standards</w:t>
      </w:r>
    </w:p>
    <w:p w:rsidR="00365416" w:rsidRPr="008C25D0" w:rsidRDefault="00365416">
      <w:pPr>
        <w:rPr>
          <w:sz w:val="22"/>
        </w:rPr>
      </w:pPr>
    </w:p>
    <w:p w:rsidR="00365416" w:rsidRPr="008C25D0" w:rsidRDefault="00365416" w:rsidP="00F35897">
      <w:pPr>
        <w:pStyle w:val="BodyText"/>
        <w:tabs>
          <w:tab w:val="clear" w:pos="360"/>
        </w:tabs>
        <w:ind w:left="360"/>
      </w:pPr>
      <w:r w:rsidRPr="008C25D0">
        <w:t>The criteria for evaluation in the mid-probationary review are the same as those assessed in tenure and/or promotion decisions.  Taking all relevant factors into consideration, an assessment should be made as to whether the candidate has made acceptable progress towards tenure and the likelihood that the candidate will be able to accomplish enough to secure tenure within the timeframe specified in his</w:t>
      </w:r>
      <w:r w:rsidR="002B4D7C">
        <w:rPr>
          <w:lang w:val="en-US"/>
        </w:rPr>
        <w:t xml:space="preserve"> </w:t>
      </w:r>
      <w:r w:rsidR="002B4D7C">
        <w:rPr>
          <w:lang w:val="en-US"/>
        </w:rPr>
        <w:lastRenderedPageBreak/>
        <w:t xml:space="preserve">or </w:t>
      </w:r>
      <w:r w:rsidRPr="008C25D0">
        <w:t xml:space="preserve">her contract.  In addition to published works, candidates are encouraged to report all relevant efforts including work-in-process and currently unfunded grant proposals.  </w:t>
      </w:r>
    </w:p>
    <w:p w:rsidR="00365416" w:rsidRPr="00535D83" w:rsidRDefault="00365416" w:rsidP="00535D83">
      <w:pPr>
        <w:pStyle w:val="BodyText"/>
        <w:tabs>
          <w:tab w:val="clear" w:pos="360"/>
          <w:tab w:val="left" w:pos="1800"/>
          <w:tab w:val="left" w:pos="2520"/>
        </w:tabs>
        <w:rPr>
          <w:b/>
        </w:rPr>
      </w:pPr>
    </w:p>
    <w:p w:rsidR="002C617D" w:rsidRPr="00D57715" w:rsidRDefault="006C004A" w:rsidP="002C617D">
      <w:pPr>
        <w:pStyle w:val="BodyText"/>
        <w:tabs>
          <w:tab w:val="clear" w:pos="360"/>
          <w:tab w:val="left" w:pos="1800"/>
          <w:tab w:val="left" w:pos="2520"/>
        </w:tabs>
        <w:rPr>
          <w:b/>
          <w:sz w:val="24"/>
          <w:szCs w:val="24"/>
        </w:rPr>
      </w:pPr>
      <w:r>
        <w:rPr>
          <w:b/>
          <w:sz w:val="24"/>
          <w:szCs w:val="24"/>
        </w:rPr>
        <w:t>II.C.</w:t>
      </w:r>
      <w:r w:rsidR="00F35897" w:rsidRPr="00D57715">
        <w:rPr>
          <w:b/>
          <w:sz w:val="24"/>
          <w:szCs w:val="24"/>
        </w:rPr>
        <w:t xml:space="preserve"> </w:t>
      </w:r>
      <w:r w:rsidR="002C617D" w:rsidRPr="00D57715">
        <w:rPr>
          <w:b/>
          <w:sz w:val="24"/>
          <w:szCs w:val="24"/>
        </w:rPr>
        <w:t>Reappointment</w:t>
      </w:r>
    </w:p>
    <w:p w:rsidR="002C617D" w:rsidRPr="008C25D0" w:rsidRDefault="002C617D" w:rsidP="002C617D">
      <w:pPr>
        <w:pStyle w:val="BodyText"/>
        <w:tabs>
          <w:tab w:val="clear" w:pos="360"/>
          <w:tab w:val="left" w:pos="1800"/>
          <w:tab w:val="left" w:pos="2520"/>
        </w:tabs>
        <w:rPr>
          <w:b/>
        </w:rPr>
      </w:pPr>
    </w:p>
    <w:p w:rsidR="00010C35" w:rsidRPr="00782D4B" w:rsidRDefault="002C617D" w:rsidP="00010C35">
      <w:pPr>
        <w:rPr>
          <w:i/>
          <w:color w:val="FF0000"/>
          <w:sz w:val="22"/>
          <w:u w:val="single"/>
        </w:rPr>
      </w:pPr>
      <w:r w:rsidRPr="008C25D0">
        <w:rPr>
          <w:sz w:val="22"/>
        </w:rPr>
        <w:t>Reappointment is the process of extending a tenure-track (but untenured) faculty member's contract. It involves an evaluation process carried out by the Department Head and tenured faculty.  See Sections C50</w:t>
      </w:r>
      <w:r w:rsidR="00233E69">
        <w:rPr>
          <w:sz w:val="22"/>
        </w:rPr>
        <w:t>.1</w:t>
      </w:r>
      <w:r w:rsidRPr="008C25D0">
        <w:rPr>
          <w:sz w:val="22"/>
        </w:rPr>
        <w:t xml:space="preserve">-C56 and Section C162.3 of the </w:t>
      </w:r>
      <w:r w:rsidR="00CC3F00">
        <w:rPr>
          <w:i/>
          <w:sz w:val="22"/>
        </w:rPr>
        <w:t>University Handbook</w:t>
      </w:r>
      <w:r w:rsidRPr="008C25D0">
        <w:rPr>
          <w:sz w:val="22"/>
        </w:rPr>
        <w:t xml:space="preserve"> for the specific procedures related to reappointment.  (See Sections C60-C66 of the </w:t>
      </w:r>
      <w:r w:rsidR="00CC3F00" w:rsidRPr="00743443">
        <w:rPr>
          <w:i/>
          <w:sz w:val="22"/>
        </w:rPr>
        <w:t>University Handbook</w:t>
      </w:r>
      <w:r w:rsidRPr="008C25D0">
        <w:rPr>
          <w:sz w:val="22"/>
        </w:rPr>
        <w:t xml:space="preserve"> for procedures related to non-tenure track instructors.)  The criteria for reappointment of untenured faculty members and non-tenure track instructors should be consistent with the criteria associated with annual evaluation.  </w:t>
      </w:r>
      <w:r w:rsidR="00010C35" w:rsidRPr="0064554F">
        <w:rPr>
          <w:sz w:val="22"/>
        </w:rPr>
        <w:t xml:space="preserve">This is an important opportunity for senior faculty to become familiar with the feedback provided to junior faculty candidates by the </w:t>
      </w:r>
      <w:r w:rsidR="00876AC0">
        <w:rPr>
          <w:sz w:val="22"/>
        </w:rPr>
        <w:t>D</w:t>
      </w:r>
      <w:r w:rsidR="00010C35" w:rsidRPr="0064554F">
        <w:rPr>
          <w:sz w:val="22"/>
        </w:rPr>
        <w:t xml:space="preserve">epartment </w:t>
      </w:r>
      <w:r w:rsidR="00876AC0">
        <w:rPr>
          <w:sz w:val="22"/>
        </w:rPr>
        <w:t>H</w:t>
      </w:r>
      <w:r w:rsidR="00010C35" w:rsidRPr="0064554F">
        <w:rPr>
          <w:sz w:val="22"/>
        </w:rPr>
        <w:t xml:space="preserve">ead </w:t>
      </w:r>
      <w:r w:rsidR="00975ED2" w:rsidRPr="0064554F">
        <w:rPr>
          <w:sz w:val="22"/>
        </w:rPr>
        <w:t>concerning their progress</w:t>
      </w:r>
      <w:r w:rsidR="00010C35" w:rsidRPr="0064554F">
        <w:rPr>
          <w:sz w:val="22"/>
        </w:rPr>
        <w:t>. Differences of opinion can be discussed and, hopefully, resolved at this point rather than coming up for the first time in promotion and tenure meetings.</w:t>
      </w:r>
    </w:p>
    <w:p w:rsidR="002C617D" w:rsidRPr="008C25D0" w:rsidRDefault="002C617D">
      <w:pPr>
        <w:pStyle w:val="BodyText"/>
        <w:tabs>
          <w:tab w:val="clear" w:pos="360"/>
          <w:tab w:val="left" w:pos="1800"/>
          <w:tab w:val="left" w:pos="2520"/>
        </w:tabs>
        <w:spacing w:line="480" w:lineRule="auto"/>
      </w:pPr>
    </w:p>
    <w:p w:rsidR="00365416" w:rsidRDefault="0024255E" w:rsidP="00DA3FDF">
      <w:pPr>
        <w:pStyle w:val="Heading3"/>
        <w:spacing w:before="0" w:beforeAutospacing="0" w:after="0" w:afterAutospacing="0"/>
        <w:jc w:val="center"/>
        <w:rPr>
          <w:sz w:val="22"/>
        </w:rPr>
      </w:pPr>
      <w:r w:rsidRPr="008C25D0">
        <w:rPr>
          <w:sz w:val="22"/>
        </w:rPr>
        <w:br w:type="page"/>
      </w:r>
      <w:r w:rsidR="00365416" w:rsidRPr="008C25D0">
        <w:rPr>
          <w:sz w:val="22"/>
        </w:rPr>
        <w:lastRenderedPageBreak/>
        <w:t>APPENDIX 1: Forms for Presenting Summaries of Activities for Annual Evaluation and Goals/Plans for the Upcoming Year</w:t>
      </w:r>
    </w:p>
    <w:p w:rsidR="00365416" w:rsidRPr="008C25D0" w:rsidRDefault="00365416">
      <w:pPr>
        <w:jc w:val="center"/>
        <w:rPr>
          <w:sz w:val="22"/>
        </w:rPr>
      </w:pPr>
    </w:p>
    <w:p w:rsidR="00365416" w:rsidRPr="008C25D0" w:rsidRDefault="00365416">
      <w:pPr>
        <w:pStyle w:val="NormalWeb"/>
        <w:spacing w:before="0" w:beforeAutospacing="0" w:after="0" w:afterAutospacing="0"/>
        <w:rPr>
          <w:b/>
          <w:sz w:val="22"/>
        </w:rPr>
      </w:pPr>
      <w:r w:rsidRPr="008C25D0">
        <w:rPr>
          <w:sz w:val="22"/>
        </w:rPr>
        <w:t>This report should cover your completed activities for the calendar year 2</w:t>
      </w:r>
      <w:r w:rsidR="0089398B">
        <w:rPr>
          <w:sz w:val="22"/>
        </w:rPr>
        <w:t>0__</w:t>
      </w:r>
      <w:r w:rsidRPr="008C25D0">
        <w:rPr>
          <w:sz w:val="22"/>
        </w:rPr>
        <w:t xml:space="preserve"> and goals/plans for the upcoming year. Activities currently in progress may be reported as well.  Please disregard those categories that do not apply to you. </w:t>
      </w:r>
      <w:r w:rsidRPr="008C25D0">
        <w:rPr>
          <w:sz w:val="22"/>
        </w:rPr>
        <w:br/>
      </w:r>
      <w:r w:rsidRPr="008C25D0">
        <w:rPr>
          <w:sz w:val="22"/>
        </w:rPr>
        <w:br/>
      </w:r>
      <w:r w:rsidRPr="008C25D0">
        <w:rPr>
          <w:b/>
          <w:sz w:val="22"/>
        </w:rPr>
        <w:t xml:space="preserve">I. TEACHING </w:t>
      </w:r>
    </w:p>
    <w:p w:rsidR="00BF746C" w:rsidRPr="008C25D0" w:rsidRDefault="00BF746C" w:rsidP="00BF746C">
      <w:pPr>
        <w:pStyle w:val="NormalWeb"/>
        <w:spacing w:before="0" w:after="0"/>
        <w:rPr>
          <w:b/>
          <w:sz w:val="22"/>
        </w:rPr>
      </w:pPr>
      <w:r w:rsidRPr="008C25D0">
        <w:rPr>
          <w:b/>
          <w:sz w:val="22"/>
        </w:rPr>
        <w:t>I.A. Accomplishments</w:t>
      </w:r>
    </w:p>
    <w:p w:rsidR="00BF746C" w:rsidRPr="0064554F" w:rsidRDefault="00BF746C" w:rsidP="00BF746C">
      <w:pPr>
        <w:pStyle w:val="BodyTextIndent3"/>
        <w:numPr>
          <w:ilvl w:val="0"/>
          <w:numId w:val="15"/>
        </w:numPr>
        <w:spacing w:before="0" w:after="0"/>
        <w:rPr>
          <w:sz w:val="22"/>
        </w:rPr>
      </w:pPr>
      <w:r w:rsidRPr="0064554F">
        <w:rPr>
          <w:sz w:val="22"/>
        </w:rPr>
        <w:t xml:space="preserve">Provide a summary of courses taught (by title and semester) and </w:t>
      </w:r>
      <w:r w:rsidR="00304486">
        <w:rPr>
          <w:sz w:val="22"/>
        </w:rPr>
        <w:t xml:space="preserve">a </w:t>
      </w:r>
      <w:r w:rsidRPr="0064554F">
        <w:rPr>
          <w:sz w:val="22"/>
        </w:rPr>
        <w:t>summary of</w:t>
      </w:r>
      <w:r>
        <w:rPr>
          <w:sz w:val="22"/>
        </w:rPr>
        <w:t xml:space="preserve"> </w:t>
      </w:r>
      <w:r w:rsidRPr="008C25D0">
        <w:rPr>
          <w:sz w:val="22"/>
        </w:rPr>
        <w:t>the students' evaluation of your teaching effectiveness for each course taught.  Specifically, provide TEVAL scores related to the items of "Teacher Effectiveness" and "Amount Learned" for each course taught.  Include a copy of the TEVAL summary sheet with this report.</w:t>
      </w:r>
      <w:r>
        <w:rPr>
          <w:sz w:val="22"/>
        </w:rPr>
        <w:t xml:space="preserve">  </w:t>
      </w:r>
      <w:r w:rsidRPr="0064554F">
        <w:rPr>
          <w:sz w:val="22"/>
        </w:rPr>
        <w:t xml:space="preserve">The use of electronically </w:t>
      </w:r>
      <w:r w:rsidR="009F323E" w:rsidRPr="0064554F">
        <w:rPr>
          <w:sz w:val="22"/>
        </w:rPr>
        <w:t xml:space="preserve">(online) </w:t>
      </w:r>
      <w:r w:rsidRPr="0064554F">
        <w:rPr>
          <w:sz w:val="22"/>
        </w:rPr>
        <w:t>collected and processed T</w:t>
      </w:r>
      <w:r w:rsidR="00320C41">
        <w:rPr>
          <w:sz w:val="22"/>
        </w:rPr>
        <w:t>EVALS</w:t>
      </w:r>
      <w:r w:rsidRPr="0064554F">
        <w:rPr>
          <w:sz w:val="22"/>
        </w:rPr>
        <w:t xml:space="preserve"> (e-T</w:t>
      </w:r>
      <w:r w:rsidR="00320C41">
        <w:rPr>
          <w:sz w:val="22"/>
        </w:rPr>
        <w:t>EVALS</w:t>
      </w:r>
      <w:r w:rsidRPr="0064554F">
        <w:rPr>
          <w:sz w:val="22"/>
        </w:rPr>
        <w:t xml:space="preserve">) </w:t>
      </w:r>
      <w:r w:rsidR="00EB438F">
        <w:rPr>
          <w:sz w:val="22"/>
        </w:rPr>
        <w:t>is</w:t>
      </w:r>
      <w:r w:rsidR="00EB438F" w:rsidRPr="0064554F">
        <w:rPr>
          <w:sz w:val="22"/>
        </w:rPr>
        <w:t xml:space="preserve"> </w:t>
      </w:r>
      <w:r w:rsidRPr="0064554F">
        <w:rPr>
          <w:sz w:val="22"/>
        </w:rPr>
        <w:t>encouraged for consistency</w:t>
      </w:r>
      <w:r w:rsidR="00975ED2" w:rsidRPr="0064554F">
        <w:rPr>
          <w:sz w:val="22"/>
        </w:rPr>
        <w:t>.</w:t>
      </w:r>
      <w:r w:rsidR="009F323E" w:rsidRPr="0064554F">
        <w:rPr>
          <w:sz w:val="22"/>
        </w:rPr>
        <w:t xml:space="preserve">  They are located at </w:t>
      </w:r>
      <w:r w:rsidR="007B3538" w:rsidRPr="00743443">
        <w:rPr>
          <w:i/>
          <w:sz w:val="22"/>
        </w:rPr>
        <w:t>https://teval.ksu.edu/Teval/</w:t>
      </w:r>
      <w:r w:rsidR="009F323E" w:rsidRPr="0064554F">
        <w:rPr>
          <w:sz w:val="22"/>
        </w:rPr>
        <w:t>.</w:t>
      </w:r>
      <w:r w:rsidR="00975ED2" w:rsidRPr="0064554F">
        <w:rPr>
          <w:sz w:val="22"/>
          <w:szCs w:val="22"/>
        </w:rPr>
        <w:t xml:space="preserve">  </w:t>
      </w:r>
      <w:r w:rsidR="00975ED2" w:rsidRPr="0064554F">
        <w:rPr>
          <w:sz w:val="22"/>
        </w:rPr>
        <w:t>Whichever form of T</w:t>
      </w:r>
      <w:r w:rsidR="00320C41">
        <w:rPr>
          <w:sz w:val="22"/>
        </w:rPr>
        <w:t>EVAL</w:t>
      </w:r>
      <w:r w:rsidR="00975ED2" w:rsidRPr="0064554F">
        <w:rPr>
          <w:sz w:val="22"/>
        </w:rPr>
        <w:t xml:space="preserve"> is used, electronic or in-class, they should be collected with</w:t>
      </w:r>
      <w:r w:rsidRPr="0064554F">
        <w:rPr>
          <w:sz w:val="22"/>
        </w:rPr>
        <w:t xml:space="preserve"> careful adherence to </w:t>
      </w:r>
      <w:r w:rsidRPr="00743443">
        <w:rPr>
          <w:i/>
          <w:sz w:val="22"/>
        </w:rPr>
        <w:t>University Handbook</w:t>
      </w:r>
      <w:r w:rsidRPr="0064554F">
        <w:rPr>
          <w:sz w:val="22"/>
        </w:rPr>
        <w:t xml:space="preserve"> policy C34.1 </w:t>
      </w:r>
      <w:r w:rsidR="00CE2676" w:rsidRPr="0064554F">
        <w:rPr>
          <w:sz w:val="22"/>
        </w:rPr>
        <w:t xml:space="preserve">and the procedure </w:t>
      </w:r>
      <w:r w:rsidR="00F617AF" w:rsidRPr="0064554F">
        <w:rPr>
          <w:sz w:val="22"/>
        </w:rPr>
        <w:t xml:space="preserve">suggested by the Center for the Advancement of Teaching and Learning </w:t>
      </w:r>
      <w:r w:rsidR="00CE2676" w:rsidRPr="0064554F">
        <w:rPr>
          <w:sz w:val="22"/>
        </w:rPr>
        <w:t>(</w:t>
      </w:r>
      <w:r w:rsidR="009D0D7B" w:rsidRPr="0064554F">
        <w:rPr>
          <w:sz w:val="22"/>
        </w:rPr>
        <w:t xml:space="preserve">currently </w:t>
      </w:r>
      <w:r w:rsidR="00CE2676" w:rsidRPr="00743443">
        <w:rPr>
          <w:i/>
          <w:sz w:val="22"/>
        </w:rPr>
        <w:t>http://www.k-state.edu/catl/ratings/teval/tevrat.htm</w:t>
      </w:r>
      <w:r w:rsidR="00F617AF" w:rsidRPr="0064554F">
        <w:rPr>
          <w:sz w:val="22"/>
        </w:rPr>
        <w:t>)</w:t>
      </w:r>
      <w:r w:rsidRPr="0064554F">
        <w:rPr>
          <w:sz w:val="22"/>
        </w:rPr>
        <w:t>.</w:t>
      </w:r>
      <w:r w:rsidR="00A01A2B" w:rsidRPr="0064554F">
        <w:rPr>
          <w:sz w:val="22"/>
        </w:rPr>
        <w:t xml:space="preserve">  Following the same policies in the </w:t>
      </w:r>
      <w:r w:rsidR="00A01A2B" w:rsidRPr="00743443">
        <w:rPr>
          <w:i/>
          <w:sz w:val="22"/>
        </w:rPr>
        <w:t>University Handbook</w:t>
      </w:r>
      <w:r w:rsidR="00A01A2B" w:rsidRPr="0064554F">
        <w:rPr>
          <w:sz w:val="22"/>
        </w:rPr>
        <w:t>, the IDEA form may be used in addition to the T</w:t>
      </w:r>
      <w:r w:rsidR="00320C41">
        <w:rPr>
          <w:sz w:val="22"/>
        </w:rPr>
        <w:t>EVAL</w:t>
      </w:r>
      <w:r w:rsidR="00A01A2B" w:rsidRPr="0064554F">
        <w:rPr>
          <w:sz w:val="22"/>
        </w:rPr>
        <w:t>.  In this case, both the IDEA form and the T</w:t>
      </w:r>
      <w:r w:rsidR="00320C41">
        <w:rPr>
          <w:sz w:val="22"/>
        </w:rPr>
        <w:t>EVAL</w:t>
      </w:r>
      <w:r w:rsidR="00A01A2B" w:rsidRPr="0064554F">
        <w:rPr>
          <w:sz w:val="22"/>
        </w:rPr>
        <w:t xml:space="preserve"> would be provided for use in evaluating teaching performance.</w:t>
      </w:r>
    </w:p>
    <w:p w:rsidR="00365416" w:rsidRPr="003B1830" w:rsidRDefault="00365416">
      <w:pPr>
        <w:pStyle w:val="BodyTextIndent3"/>
        <w:spacing w:before="0" w:after="0"/>
        <w:ind w:left="360" w:firstLine="0"/>
        <w:rPr>
          <w:sz w:val="22"/>
        </w:rPr>
      </w:pPr>
    </w:p>
    <w:p w:rsidR="00365416" w:rsidRPr="008C25D0" w:rsidRDefault="00365416">
      <w:pPr>
        <w:pStyle w:val="BodyTextIndent3"/>
        <w:spacing w:before="0" w:after="0"/>
        <w:ind w:left="720" w:hanging="360"/>
        <w:rPr>
          <w:sz w:val="22"/>
        </w:rPr>
      </w:pPr>
      <w:r w:rsidRPr="008C25D0">
        <w:rPr>
          <w:sz w:val="22"/>
        </w:rPr>
        <w:tab/>
        <w:t>The Department Head should use TEVAL information as only one component when assessing instructional performance and should be aware that TEVAL ratings are sometimes influenced by the level or nature of the course or other factors outside the instructor's control.</w:t>
      </w:r>
    </w:p>
    <w:p w:rsidR="00365416" w:rsidRPr="008C25D0" w:rsidRDefault="00365416">
      <w:pPr>
        <w:pStyle w:val="BodyTextIndent3"/>
        <w:spacing w:before="0" w:after="0"/>
        <w:ind w:left="720" w:hanging="360"/>
        <w:rPr>
          <w:sz w:val="22"/>
        </w:rPr>
      </w:pPr>
    </w:p>
    <w:p w:rsidR="00365416" w:rsidRPr="008C25D0" w:rsidRDefault="00365416">
      <w:pPr>
        <w:pStyle w:val="BodyTextIndent3"/>
        <w:spacing w:before="0" w:after="0"/>
        <w:ind w:left="720" w:hanging="360"/>
        <w:rPr>
          <w:sz w:val="22"/>
        </w:rPr>
      </w:pPr>
      <w:r w:rsidRPr="008C25D0">
        <w:rPr>
          <w:sz w:val="22"/>
        </w:rPr>
        <w:t xml:space="preserve">(b) While it is not mandatory, faculty members can choose to submit students' written comments from the evaluation forms as well. </w:t>
      </w:r>
    </w:p>
    <w:p w:rsidR="00365416" w:rsidRPr="008C25D0" w:rsidRDefault="00365416">
      <w:pPr>
        <w:pStyle w:val="BodyTextIndent3"/>
        <w:spacing w:before="0" w:after="0"/>
        <w:ind w:left="720" w:hanging="360"/>
        <w:rPr>
          <w:sz w:val="22"/>
        </w:rPr>
      </w:pPr>
    </w:p>
    <w:p w:rsidR="00365416" w:rsidRPr="008C25D0" w:rsidRDefault="00365416">
      <w:pPr>
        <w:ind w:left="720" w:hanging="360"/>
        <w:rPr>
          <w:sz w:val="22"/>
        </w:rPr>
      </w:pPr>
      <w:r w:rsidRPr="008C25D0">
        <w:rPr>
          <w:sz w:val="22"/>
        </w:rPr>
        <w:t>(c)</w:t>
      </w:r>
      <w:r w:rsidRPr="008C25D0">
        <w:rPr>
          <w:sz w:val="22"/>
        </w:rPr>
        <w:tab/>
        <w:t xml:space="preserve">Teaching awards and/or any other special recognition.  </w:t>
      </w:r>
    </w:p>
    <w:p w:rsidR="00365416" w:rsidRPr="008C25D0" w:rsidRDefault="00365416">
      <w:pPr>
        <w:ind w:left="720" w:hanging="360"/>
        <w:rPr>
          <w:sz w:val="22"/>
        </w:rPr>
      </w:pPr>
    </w:p>
    <w:p w:rsidR="00365416" w:rsidRPr="008C25D0" w:rsidRDefault="00365416">
      <w:pPr>
        <w:ind w:left="720" w:hanging="360"/>
        <w:rPr>
          <w:sz w:val="22"/>
        </w:rPr>
      </w:pPr>
      <w:r w:rsidRPr="008C25D0">
        <w:rPr>
          <w:sz w:val="22"/>
        </w:rPr>
        <w:t>(d)</w:t>
      </w:r>
      <w:r w:rsidRPr="008C25D0">
        <w:rPr>
          <w:sz w:val="22"/>
        </w:rPr>
        <w:tab/>
        <w:t>Any professional development activities relevant to teaching responsibilities.</w:t>
      </w:r>
    </w:p>
    <w:p w:rsidR="00365416" w:rsidRPr="008C25D0" w:rsidRDefault="00365416">
      <w:pPr>
        <w:ind w:left="720" w:hanging="360"/>
        <w:rPr>
          <w:sz w:val="22"/>
        </w:rPr>
      </w:pPr>
    </w:p>
    <w:p w:rsidR="00365416" w:rsidRPr="008C25D0" w:rsidRDefault="00365416">
      <w:pPr>
        <w:ind w:left="720" w:hanging="360"/>
        <w:rPr>
          <w:sz w:val="22"/>
        </w:rPr>
      </w:pPr>
      <w:r w:rsidRPr="008C25D0">
        <w:rPr>
          <w:sz w:val="22"/>
        </w:rPr>
        <w:t>(e)</w:t>
      </w:r>
      <w:r w:rsidRPr="008C25D0">
        <w:rPr>
          <w:sz w:val="22"/>
        </w:rPr>
        <w:tab/>
        <w:t>Teaching portfolio that includes course syllabi, exams, samples of graded assignments, etc.</w:t>
      </w:r>
    </w:p>
    <w:p w:rsidR="00365416" w:rsidRPr="008C25D0" w:rsidRDefault="00365416">
      <w:pPr>
        <w:ind w:left="720" w:hanging="360"/>
        <w:rPr>
          <w:sz w:val="22"/>
        </w:rPr>
      </w:pPr>
    </w:p>
    <w:p w:rsidR="00365416" w:rsidRPr="008C25D0" w:rsidRDefault="00365416">
      <w:pPr>
        <w:ind w:left="720" w:hanging="360"/>
        <w:rPr>
          <w:sz w:val="22"/>
        </w:rPr>
      </w:pPr>
      <w:r w:rsidRPr="008C25D0">
        <w:rPr>
          <w:sz w:val="22"/>
        </w:rPr>
        <w:t>(f)  Teaching-related proposals for and receipt of extramural funding.</w:t>
      </w:r>
    </w:p>
    <w:p w:rsidR="00365416" w:rsidRPr="008C25D0" w:rsidRDefault="00365416">
      <w:pPr>
        <w:ind w:left="720" w:hanging="360"/>
        <w:rPr>
          <w:sz w:val="22"/>
        </w:rPr>
      </w:pPr>
    </w:p>
    <w:p w:rsidR="00365416" w:rsidRPr="008C25D0" w:rsidRDefault="00365416">
      <w:pPr>
        <w:ind w:left="720" w:hanging="360"/>
        <w:rPr>
          <w:sz w:val="22"/>
        </w:rPr>
      </w:pPr>
      <w:r w:rsidRPr="008C25D0">
        <w:rPr>
          <w:sz w:val="22"/>
        </w:rPr>
        <w:t>(g)</w:t>
      </w:r>
      <w:r w:rsidRPr="008C25D0">
        <w:rPr>
          <w:sz w:val="22"/>
        </w:rPr>
        <w:tab/>
        <w:t xml:space="preserve">Other sources as described in Appendix 2, Table A.  </w:t>
      </w:r>
    </w:p>
    <w:p w:rsidR="00365416" w:rsidRPr="008C25D0" w:rsidRDefault="00365416">
      <w:pPr>
        <w:ind w:left="360"/>
        <w:rPr>
          <w:sz w:val="22"/>
        </w:rPr>
      </w:pPr>
    </w:p>
    <w:p w:rsidR="00365416" w:rsidRPr="008C25D0" w:rsidRDefault="00365416">
      <w:pPr>
        <w:ind w:left="360"/>
        <w:rPr>
          <w:sz w:val="22"/>
        </w:rPr>
      </w:pPr>
    </w:p>
    <w:p w:rsidR="00365416" w:rsidRPr="008C25D0" w:rsidRDefault="00365416">
      <w:pPr>
        <w:pStyle w:val="Heading1"/>
        <w:numPr>
          <w:ilvl w:val="0"/>
          <w:numId w:val="0"/>
        </w:numPr>
        <w:ind w:left="360" w:hanging="360"/>
        <w:rPr>
          <w:caps w:val="0"/>
        </w:rPr>
      </w:pPr>
      <w:r w:rsidRPr="008C25D0">
        <w:rPr>
          <w:caps w:val="0"/>
        </w:rPr>
        <w:t>I.B. Goals/Plans for the Upcoming Year</w:t>
      </w:r>
    </w:p>
    <w:p w:rsidR="00365416" w:rsidRPr="008C25D0" w:rsidRDefault="00365416"/>
    <w:p w:rsidR="00365416" w:rsidRPr="008C25D0" w:rsidRDefault="00365416">
      <w:pPr>
        <w:ind w:left="720" w:hanging="360"/>
        <w:rPr>
          <w:sz w:val="22"/>
        </w:rPr>
      </w:pPr>
      <w:r w:rsidRPr="008C25D0">
        <w:rPr>
          <w:sz w:val="22"/>
        </w:rPr>
        <w:t>(a)</w:t>
      </w:r>
      <w:r w:rsidRPr="008C25D0">
        <w:rPr>
          <w:sz w:val="22"/>
        </w:rPr>
        <w:tab/>
        <w:t>Weight</w:t>
      </w:r>
    </w:p>
    <w:p w:rsidR="00365416" w:rsidRPr="008C25D0" w:rsidRDefault="00365416">
      <w:pPr>
        <w:ind w:left="720" w:hanging="360"/>
        <w:rPr>
          <w:sz w:val="22"/>
        </w:rPr>
      </w:pPr>
    </w:p>
    <w:p w:rsidR="00365416" w:rsidRPr="008C25D0" w:rsidRDefault="00365416">
      <w:pPr>
        <w:ind w:left="720" w:hanging="360"/>
        <w:rPr>
          <w:sz w:val="22"/>
        </w:rPr>
      </w:pPr>
      <w:r w:rsidRPr="008C25D0">
        <w:rPr>
          <w:sz w:val="22"/>
        </w:rPr>
        <w:t>(b)</w:t>
      </w:r>
      <w:r w:rsidRPr="008C25D0">
        <w:rPr>
          <w:sz w:val="22"/>
        </w:rPr>
        <w:tab/>
        <w:t xml:space="preserve">Goals </w:t>
      </w:r>
      <w:r w:rsidR="002B4D7C">
        <w:rPr>
          <w:sz w:val="22"/>
        </w:rPr>
        <w:t>and</w:t>
      </w:r>
      <w:r w:rsidR="002B4D7C" w:rsidRPr="008C25D0">
        <w:rPr>
          <w:sz w:val="22"/>
        </w:rPr>
        <w:t xml:space="preserve"> </w:t>
      </w:r>
      <w:r w:rsidRPr="008C25D0">
        <w:rPr>
          <w:sz w:val="22"/>
        </w:rPr>
        <w:t>plans</w:t>
      </w:r>
    </w:p>
    <w:p w:rsidR="00365416" w:rsidRPr="008C25D0" w:rsidRDefault="00365416">
      <w:pPr>
        <w:ind w:left="360" w:hanging="360"/>
        <w:rPr>
          <w:sz w:val="22"/>
        </w:rPr>
      </w:pPr>
    </w:p>
    <w:p w:rsidR="00365416" w:rsidRDefault="00365416">
      <w:pPr>
        <w:ind w:left="360" w:hanging="360"/>
        <w:rPr>
          <w:sz w:val="22"/>
        </w:rPr>
      </w:pPr>
    </w:p>
    <w:p w:rsidR="008F6A75" w:rsidRDefault="008F6A75">
      <w:pPr>
        <w:ind w:left="360" w:hanging="360"/>
        <w:rPr>
          <w:sz w:val="22"/>
        </w:rPr>
      </w:pPr>
    </w:p>
    <w:p w:rsidR="008F6A75" w:rsidRPr="008C25D0" w:rsidRDefault="008F6A75">
      <w:pPr>
        <w:ind w:left="360" w:hanging="360"/>
        <w:rPr>
          <w:sz w:val="22"/>
        </w:rPr>
      </w:pPr>
    </w:p>
    <w:p w:rsidR="00365416" w:rsidRPr="008C25D0" w:rsidRDefault="00365416">
      <w:pPr>
        <w:pStyle w:val="Heading2"/>
        <w:spacing w:before="0" w:after="0"/>
        <w:rPr>
          <w:sz w:val="22"/>
        </w:rPr>
      </w:pPr>
      <w:r w:rsidRPr="008C25D0">
        <w:rPr>
          <w:sz w:val="22"/>
        </w:rPr>
        <w:lastRenderedPageBreak/>
        <w:t xml:space="preserve">II. RESEARCH </w:t>
      </w:r>
    </w:p>
    <w:p w:rsidR="00365416" w:rsidRPr="008C25D0" w:rsidRDefault="00365416">
      <w:pPr>
        <w:pStyle w:val="NormalWeb"/>
        <w:spacing w:before="0" w:after="0"/>
        <w:rPr>
          <w:b/>
          <w:sz w:val="22"/>
        </w:rPr>
      </w:pPr>
      <w:r w:rsidRPr="008C25D0">
        <w:rPr>
          <w:b/>
          <w:sz w:val="22"/>
        </w:rPr>
        <w:t>II.A. Accomplishments</w:t>
      </w:r>
    </w:p>
    <w:p w:rsidR="00365416" w:rsidRPr="00391666" w:rsidRDefault="00365416" w:rsidP="00391666">
      <w:pPr>
        <w:pStyle w:val="ListParagraph"/>
        <w:numPr>
          <w:ilvl w:val="0"/>
          <w:numId w:val="18"/>
        </w:numPr>
        <w:rPr>
          <w:sz w:val="22"/>
        </w:rPr>
      </w:pPr>
      <w:r w:rsidRPr="00391666">
        <w:rPr>
          <w:sz w:val="22"/>
        </w:rPr>
        <w:t>Published refereed articles.  Enclose a cover page of the reprint or an acceptance letter for the paper.</w:t>
      </w:r>
    </w:p>
    <w:p w:rsidR="00391666" w:rsidRPr="00391666" w:rsidRDefault="00391666" w:rsidP="00391666">
      <w:pPr>
        <w:pStyle w:val="ListParagraph"/>
        <w:rPr>
          <w:sz w:val="22"/>
        </w:rPr>
      </w:pPr>
    </w:p>
    <w:p w:rsidR="00365416" w:rsidRPr="00391666" w:rsidRDefault="00365416" w:rsidP="00391666">
      <w:pPr>
        <w:pStyle w:val="ListParagraph"/>
        <w:numPr>
          <w:ilvl w:val="0"/>
          <w:numId w:val="18"/>
        </w:numPr>
        <w:rPr>
          <w:sz w:val="22"/>
        </w:rPr>
      </w:pPr>
      <w:r w:rsidRPr="00391666">
        <w:rPr>
          <w:sz w:val="22"/>
        </w:rPr>
        <w:t>Refereed conference presentations and proceedings.</w:t>
      </w:r>
    </w:p>
    <w:p w:rsidR="00391666" w:rsidRPr="00391666" w:rsidRDefault="00391666" w:rsidP="00391666">
      <w:pPr>
        <w:rPr>
          <w:sz w:val="22"/>
        </w:rPr>
      </w:pPr>
    </w:p>
    <w:p w:rsidR="00365416" w:rsidRPr="00391666" w:rsidRDefault="00365416" w:rsidP="00391666">
      <w:pPr>
        <w:pStyle w:val="ListParagraph"/>
        <w:numPr>
          <w:ilvl w:val="0"/>
          <w:numId w:val="18"/>
        </w:numPr>
        <w:rPr>
          <w:sz w:val="22"/>
        </w:rPr>
      </w:pPr>
      <w:r w:rsidRPr="00391666">
        <w:rPr>
          <w:sz w:val="22"/>
        </w:rPr>
        <w:t>Proposals for extramural research funding and funding received.  List title and amount of funding.  Identify source, performance period</w:t>
      </w:r>
      <w:r w:rsidR="000C0270" w:rsidRPr="00391666">
        <w:rPr>
          <w:sz w:val="22"/>
        </w:rPr>
        <w:t>,</w:t>
      </w:r>
      <w:r w:rsidRPr="00391666">
        <w:rPr>
          <w:sz w:val="22"/>
        </w:rPr>
        <w:t xml:space="preserve"> and your role in the project. </w:t>
      </w:r>
    </w:p>
    <w:p w:rsidR="00391666" w:rsidRPr="00391666" w:rsidRDefault="00391666" w:rsidP="00391666">
      <w:pPr>
        <w:rPr>
          <w:sz w:val="22"/>
        </w:rPr>
      </w:pPr>
    </w:p>
    <w:p w:rsidR="00365416" w:rsidRPr="00391666" w:rsidRDefault="00365416" w:rsidP="00391666">
      <w:pPr>
        <w:pStyle w:val="ListParagraph"/>
        <w:numPr>
          <w:ilvl w:val="0"/>
          <w:numId w:val="18"/>
        </w:numPr>
        <w:rPr>
          <w:sz w:val="22"/>
        </w:rPr>
      </w:pPr>
      <w:r w:rsidRPr="00391666">
        <w:rPr>
          <w:sz w:val="22"/>
        </w:rPr>
        <w:t>Research awards and/or any scholarly recognition.</w:t>
      </w:r>
    </w:p>
    <w:p w:rsidR="00391666" w:rsidRPr="00391666" w:rsidRDefault="00391666" w:rsidP="00391666">
      <w:pPr>
        <w:rPr>
          <w:sz w:val="22"/>
        </w:rPr>
      </w:pPr>
    </w:p>
    <w:p w:rsidR="00365416" w:rsidRPr="00391666" w:rsidRDefault="00365416" w:rsidP="00391666">
      <w:pPr>
        <w:pStyle w:val="ListParagraph"/>
        <w:numPr>
          <w:ilvl w:val="0"/>
          <w:numId w:val="18"/>
        </w:numPr>
        <w:rPr>
          <w:sz w:val="22"/>
        </w:rPr>
      </w:pPr>
      <w:r w:rsidRPr="00391666">
        <w:rPr>
          <w:sz w:val="22"/>
        </w:rPr>
        <w:t xml:space="preserve">Working papers that have been submitted to refereed journals. </w:t>
      </w:r>
    </w:p>
    <w:p w:rsidR="00391666" w:rsidRPr="00391666" w:rsidRDefault="00391666" w:rsidP="00391666">
      <w:pPr>
        <w:rPr>
          <w:sz w:val="22"/>
        </w:rPr>
      </w:pPr>
    </w:p>
    <w:p w:rsidR="00365416" w:rsidRPr="008C25D0" w:rsidRDefault="00365416">
      <w:pPr>
        <w:ind w:left="720" w:hanging="360"/>
        <w:rPr>
          <w:sz w:val="22"/>
        </w:rPr>
      </w:pPr>
      <w:r w:rsidRPr="008C25D0">
        <w:rPr>
          <w:sz w:val="22"/>
        </w:rPr>
        <w:t>(f)</w:t>
      </w:r>
      <w:r w:rsidRPr="008C25D0">
        <w:rPr>
          <w:sz w:val="22"/>
        </w:rPr>
        <w:tab/>
        <w:t xml:space="preserve">Other scholarly activities as described in Appendix 2, Table B.  </w:t>
      </w:r>
    </w:p>
    <w:p w:rsidR="00365416" w:rsidRPr="008C25D0" w:rsidRDefault="00365416">
      <w:pPr>
        <w:spacing w:line="360" w:lineRule="auto"/>
        <w:ind w:left="360"/>
        <w:rPr>
          <w:sz w:val="22"/>
        </w:rPr>
      </w:pPr>
    </w:p>
    <w:p w:rsidR="00365416" w:rsidRPr="008C25D0" w:rsidRDefault="00365416">
      <w:pPr>
        <w:pStyle w:val="Heading1"/>
        <w:numPr>
          <w:ilvl w:val="0"/>
          <w:numId w:val="0"/>
        </w:numPr>
        <w:ind w:left="360" w:hanging="360"/>
        <w:rPr>
          <w:caps w:val="0"/>
        </w:rPr>
      </w:pPr>
      <w:r w:rsidRPr="008C25D0">
        <w:rPr>
          <w:caps w:val="0"/>
        </w:rPr>
        <w:t xml:space="preserve">II.B. Goals/Plans for the </w:t>
      </w:r>
      <w:r w:rsidR="00304486">
        <w:rPr>
          <w:caps w:val="0"/>
        </w:rPr>
        <w:t>Upcoming</w:t>
      </w:r>
      <w:r w:rsidR="00304486" w:rsidRPr="008C25D0">
        <w:rPr>
          <w:caps w:val="0"/>
        </w:rPr>
        <w:t xml:space="preserve"> </w:t>
      </w:r>
      <w:r w:rsidRPr="008C25D0">
        <w:rPr>
          <w:caps w:val="0"/>
        </w:rPr>
        <w:t>Year</w:t>
      </w:r>
    </w:p>
    <w:p w:rsidR="00365416" w:rsidRPr="008C25D0" w:rsidRDefault="00365416"/>
    <w:p w:rsidR="00365416" w:rsidRPr="008C25D0" w:rsidRDefault="00365416">
      <w:pPr>
        <w:ind w:left="720" w:hanging="360"/>
        <w:rPr>
          <w:sz w:val="22"/>
        </w:rPr>
      </w:pPr>
      <w:r w:rsidRPr="008C25D0">
        <w:rPr>
          <w:sz w:val="22"/>
        </w:rPr>
        <w:t>(a)</w:t>
      </w:r>
      <w:r w:rsidRPr="008C25D0">
        <w:rPr>
          <w:sz w:val="22"/>
        </w:rPr>
        <w:tab/>
        <w:t>Weight</w:t>
      </w:r>
    </w:p>
    <w:p w:rsidR="00365416" w:rsidRPr="008C25D0" w:rsidRDefault="00365416">
      <w:pPr>
        <w:ind w:left="720" w:hanging="360"/>
        <w:rPr>
          <w:sz w:val="22"/>
        </w:rPr>
      </w:pPr>
    </w:p>
    <w:p w:rsidR="00365416" w:rsidRPr="008C25D0" w:rsidRDefault="00365416">
      <w:pPr>
        <w:ind w:left="720" w:hanging="360"/>
        <w:rPr>
          <w:sz w:val="22"/>
        </w:rPr>
      </w:pPr>
      <w:r w:rsidRPr="008C25D0">
        <w:rPr>
          <w:sz w:val="22"/>
        </w:rPr>
        <w:t>(b)</w:t>
      </w:r>
      <w:r w:rsidRPr="008C25D0">
        <w:rPr>
          <w:sz w:val="22"/>
        </w:rPr>
        <w:tab/>
        <w:t xml:space="preserve">Goals </w:t>
      </w:r>
      <w:r w:rsidR="002B4D7C">
        <w:rPr>
          <w:sz w:val="22"/>
        </w:rPr>
        <w:t>and</w:t>
      </w:r>
      <w:r w:rsidR="002B4D7C" w:rsidRPr="008C25D0">
        <w:rPr>
          <w:sz w:val="22"/>
        </w:rPr>
        <w:t xml:space="preserve"> </w:t>
      </w:r>
      <w:r w:rsidRPr="008C25D0">
        <w:rPr>
          <w:sz w:val="22"/>
        </w:rPr>
        <w:t>plans</w:t>
      </w:r>
    </w:p>
    <w:p w:rsidR="00365416" w:rsidRPr="008C25D0" w:rsidRDefault="00365416">
      <w:pPr>
        <w:ind w:left="360" w:hanging="360"/>
        <w:rPr>
          <w:sz w:val="22"/>
        </w:rPr>
      </w:pPr>
    </w:p>
    <w:p w:rsidR="00365416" w:rsidRPr="008C25D0" w:rsidRDefault="00365416">
      <w:pPr>
        <w:pStyle w:val="Heading2"/>
        <w:spacing w:before="0" w:after="0"/>
        <w:rPr>
          <w:sz w:val="22"/>
        </w:rPr>
      </w:pPr>
      <w:r w:rsidRPr="008C25D0">
        <w:rPr>
          <w:sz w:val="22"/>
        </w:rPr>
        <w:t xml:space="preserve">III. SERVICE </w:t>
      </w:r>
    </w:p>
    <w:p w:rsidR="00365416" w:rsidRPr="008C25D0" w:rsidRDefault="00365416">
      <w:pPr>
        <w:pStyle w:val="NormalWeb"/>
        <w:spacing w:before="0" w:after="0"/>
        <w:rPr>
          <w:b/>
          <w:sz w:val="22"/>
        </w:rPr>
      </w:pPr>
      <w:r w:rsidRPr="008C25D0">
        <w:rPr>
          <w:b/>
          <w:sz w:val="22"/>
        </w:rPr>
        <w:t>III.A. Accomplishments</w:t>
      </w:r>
    </w:p>
    <w:p w:rsidR="00365416" w:rsidRPr="008C25D0" w:rsidRDefault="00365416">
      <w:pPr>
        <w:rPr>
          <w:b/>
          <w:sz w:val="22"/>
          <w:u w:val="single"/>
        </w:rPr>
      </w:pPr>
      <w:r w:rsidRPr="008C25D0">
        <w:rPr>
          <w:b/>
          <w:sz w:val="22"/>
          <w:u w:val="single"/>
        </w:rPr>
        <w:t>University, College</w:t>
      </w:r>
      <w:r w:rsidR="00304486">
        <w:rPr>
          <w:b/>
          <w:sz w:val="22"/>
          <w:u w:val="single"/>
        </w:rPr>
        <w:t>,</w:t>
      </w:r>
      <w:r w:rsidRPr="008C25D0">
        <w:rPr>
          <w:b/>
          <w:sz w:val="22"/>
          <w:u w:val="single"/>
        </w:rPr>
        <w:t xml:space="preserve"> and Department</w:t>
      </w:r>
    </w:p>
    <w:p w:rsidR="00365416" w:rsidRPr="008C25D0" w:rsidRDefault="00365416">
      <w:pPr>
        <w:rPr>
          <w:b/>
          <w:sz w:val="22"/>
        </w:rPr>
      </w:pPr>
    </w:p>
    <w:p w:rsidR="00365416" w:rsidRPr="008C25D0" w:rsidRDefault="00365416">
      <w:pPr>
        <w:ind w:left="360"/>
        <w:rPr>
          <w:sz w:val="22"/>
        </w:rPr>
      </w:pPr>
      <w:proofErr w:type="gramStart"/>
      <w:r w:rsidRPr="008C25D0">
        <w:rPr>
          <w:sz w:val="22"/>
        </w:rPr>
        <w:t xml:space="preserve">Membership on </w:t>
      </w:r>
      <w:r w:rsidR="002B4D7C">
        <w:rPr>
          <w:sz w:val="22"/>
        </w:rPr>
        <w:t>d</w:t>
      </w:r>
      <w:r w:rsidR="002B4D7C" w:rsidRPr="008C25D0">
        <w:rPr>
          <w:sz w:val="22"/>
        </w:rPr>
        <w:t>epartmental</w:t>
      </w:r>
      <w:r w:rsidRPr="008C25D0">
        <w:rPr>
          <w:sz w:val="22"/>
        </w:rPr>
        <w:t xml:space="preserve">, </w:t>
      </w:r>
      <w:r w:rsidR="002B4D7C">
        <w:rPr>
          <w:sz w:val="22"/>
        </w:rPr>
        <w:t>c</w:t>
      </w:r>
      <w:r w:rsidR="002B4D7C" w:rsidRPr="008C25D0">
        <w:rPr>
          <w:sz w:val="22"/>
        </w:rPr>
        <w:t>ollege</w:t>
      </w:r>
      <w:r w:rsidR="00304486">
        <w:rPr>
          <w:sz w:val="22"/>
        </w:rPr>
        <w:t>,</w:t>
      </w:r>
      <w:r w:rsidRPr="008C25D0">
        <w:rPr>
          <w:sz w:val="22"/>
        </w:rPr>
        <w:t xml:space="preserve"> and </w:t>
      </w:r>
      <w:r w:rsidR="002B4D7C">
        <w:rPr>
          <w:sz w:val="22"/>
        </w:rPr>
        <w:t>u</w:t>
      </w:r>
      <w:r w:rsidR="002B4D7C" w:rsidRPr="008C25D0">
        <w:rPr>
          <w:sz w:val="22"/>
        </w:rPr>
        <w:t xml:space="preserve">niversity </w:t>
      </w:r>
      <w:r w:rsidRPr="008C25D0">
        <w:rPr>
          <w:sz w:val="22"/>
        </w:rPr>
        <w:t>boards and committees.</w:t>
      </w:r>
      <w:proofErr w:type="gramEnd"/>
      <w:r w:rsidRPr="008C25D0">
        <w:rPr>
          <w:sz w:val="22"/>
        </w:rPr>
        <w:t xml:space="preserve"> Evidence of leadership, which could be demonstrated by chairing a committee, work performed, impact made, and significance of the committee</w:t>
      </w:r>
      <w:r w:rsidR="000C0270">
        <w:rPr>
          <w:sz w:val="22"/>
        </w:rPr>
        <w:t>,</w:t>
      </w:r>
      <w:r w:rsidRPr="008C25D0">
        <w:rPr>
          <w:sz w:val="22"/>
        </w:rPr>
        <w:t xml:space="preserve"> will be assessed.</w:t>
      </w:r>
    </w:p>
    <w:p w:rsidR="00365416" w:rsidRPr="008C25D0" w:rsidRDefault="00365416">
      <w:pPr>
        <w:ind w:left="360"/>
        <w:rPr>
          <w:sz w:val="22"/>
        </w:rPr>
      </w:pPr>
    </w:p>
    <w:p w:rsidR="00365416" w:rsidRPr="008C25D0" w:rsidRDefault="00365416">
      <w:pPr>
        <w:rPr>
          <w:b/>
          <w:sz w:val="22"/>
          <w:u w:val="single"/>
        </w:rPr>
      </w:pPr>
      <w:r w:rsidRPr="008C25D0">
        <w:rPr>
          <w:b/>
          <w:sz w:val="22"/>
          <w:u w:val="single"/>
        </w:rPr>
        <w:t>Outside of University</w:t>
      </w:r>
    </w:p>
    <w:p w:rsidR="00365416" w:rsidRPr="008C25D0" w:rsidRDefault="00365416">
      <w:pPr>
        <w:rPr>
          <w:b/>
          <w:sz w:val="22"/>
        </w:rPr>
      </w:pPr>
    </w:p>
    <w:p w:rsidR="00365416" w:rsidRPr="008C25D0" w:rsidRDefault="00365416">
      <w:pPr>
        <w:pStyle w:val="BodyTextIndent"/>
        <w:tabs>
          <w:tab w:val="clear" w:pos="360"/>
        </w:tabs>
      </w:pPr>
      <w:r w:rsidRPr="008C25D0">
        <w:tab/>
        <w:t>Service provided to professional organizations, journals, communities, industries and the like.</w:t>
      </w:r>
    </w:p>
    <w:p w:rsidR="00365416" w:rsidRPr="008C25D0" w:rsidRDefault="00365416">
      <w:pPr>
        <w:ind w:left="450" w:hanging="90"/>
        <w:rPr>
          <w:sz w:val="22"/>
        </w:rPr>
      </w:pPr>
      <w:r w:rsidRPr="008C25D0">
        <w:rPr>
          <w:sz w:val="22"/>
        </w:rPr>
        <w:t xml:space="preserve">Other sources as described in Appendix 2, Table C.  </w:t>
      </w:r>
    </w:p>
    <w:p w:rsidR="00365416" w:rsidRPr="008C25D0" w:rsidRDefault="00365416">
      <w:pPr>
        <w:pStyle w:val="NormalWeb"/>
        <w:spacing w:before="0" w:after="0"/>
        <w:rPr>
          <w:b/>
          <w:sz w:val="22"/>
        </w:rPr>
      </w:pPr>
      <w:r w:rsidRPr="008C25D0">
        <w:rPr>
          <w:b/>
          <w:sz w:val="22"/>
        </w:rPr>
        <w:t xml:space="preserve">III.B. Goals/Plans for the </w:t>
      </w:r>
      <w:r w:rsidR="00304486">
        <w:rPr>
          <w:b/>
          <w:sz w:val="22"/>
        </w:rPr>
        <w:t>Upcoming</w:t>
      </w:r>
      <w:r w:rsidR="00304486" w:rsidRPr="008C25D0">
        <w:rPr>
          <w:b/>
          <w:sz w:val="22"/>
        </w:rPr>
        <w:t xml:space="preserve"> </w:t>
      </w:r>
      <w:r w:rsidRPr="008C25D0">
        <w:rPr>
          <w:b/>
          <w:sz w:val="22"/>
        </w:rPr>
        <w:t>Year</w:t>
      </w:r>
    </w:p>
    <w:p w:rsidR="00365416" w:rsidRPr="008C25D0" w:rsidRDefault="00365416">
      <w:pPr>
        <w:ind w:left="360"/>
        <w:rPr>
          <w:sz w:val="22"/>
        </w:rPr>
      </w:pPr>
      <w:r w:rsidRPr="008C25D0">
        <w:rPr>
          <w:sz w:val="22"/>
        </w:rPr>
        <w:t>(a)</w:t>
      </w:r>
      <w:r w:rsidRPr="008C25D0">
        <w:rPr>
          <w:sz w:val="22"/>
        </w:rPr>
        <w:tab/>
        <w:t>Weight</w:t>
      </w:r>
    </w:p>
    <w:p w:rsidR="00365416" w:rsidRPr="008C25D0" w:rsidRDefault="00365416">
      <w:pPr>
        <w:ind w:left="360" w:hanging="360"/>
        <w:rPr>
          <w:sz w:val="22"/>
        </w:rPr>
      </w:pPr>
    </w:p>
    <w:p w:rsidR="00365416" w:rsidRPr="008C25D0" w:rsidRDefault="00365416">
      <w:pPr>
        <w:ind w:left="360"/>
        <w:rPr>
          <w:sz w:val="22"/>
        </w:rPr>
      </w:pPr>
      <w:r w:rsidRPr="008C25D0">
        <w:rPr>
          <w:sz w:val="22"/>
        </w:rPr>
        <w:t>(b)</w:t>
      </w:r>
      <w:r w:rsidRPr="008C25D0">
        <w:rPr>
          <w:sz w:val="22"/>
        </w:rPr>
        <w:tab/>
        <w:t xml:space="preserve">Goals </w:t>
      </w:r>
      <w:r w:rsidR="00475BBE">
        <w:rPr>
          <w:sz w:val="22"/>
        </w:rPr>
        <w:t>and</w:t>
      </w:r>
      <w:r w:rsidR="00475BBE" w:rsidRPr="008C25D0">
        <w:rPr>
          <w:sz w:val="22"/>
        </w:rPr>
        <w:t xml:space="preserve"> </w:t>
      </w:r>
      <w:r w:rsidRPr="008C25D0">
        <w:rPr>
          <w:sz w:val="22"/>
        </w:rPr>
        <w:t>plans</w:t>
      </w:r>
    </w:p>
    <w:p w:rsidR="00365416" w:rsidRPr="008C25D0" w:rsidRDefault="00365416">
      <w:pPr>
        <w:spacing w:before="100" w:after="100"/>
        <w:rPr>
          <w:lang w:eastAsia="zh-TW"/>
        </w:rPr>
      </w:pPr>
    </w:p>
    <w:tbl>
      <w:tblPr>
        <w:tblW w:w="8760" w:type="dxa"/>
        <w:tblInd w:w="675" w:type="dxa"/>
        <w:tblLayout w:type="fixed"/>
        <w:tblCellMar>
          <w:left w:w="15" w:type="dxa"/>
          <w:right w:w="15" w:type="dxa"/>
        </w:tblCellMar>
        <w:tblLook w:val="0000"/>
      </w:tblPr>
      <w:tblGrid>
        <w:gridCol w:w="694"/>
        <w:gridCol w:w="8066"/>
      </w:tblGrid>
      <w:tr w:rsidR="00365416" w:rsidRPr="008C25D0" w:rsidTr="00744048">
        <w:tc>
          <w:tcPr>
            <w:tcW w:w="694" w:type="dxa"/>
          </w:tcPr>
          <w:p w:rsidR="00365416" w:rsidRPr="008C25D0" w:rsidRDefault="00365416">
            <w:pPr>
              <w:rPr>
                <w:sz w:val="24"/>
              </w:rPr>
            </w:pPr>
            <w:r w:rsidRPr="008C25D0">
              <w:rPr>
                <w:u w:val="single"/>
              </w:rPr>
              <w:t>NOTE</w:t>
            </w:r>
            <w:r w:rsidRPr="008C25D0">
              <w:t>:</w:t>
            </w:r>
          </w:p>
        </w:tc>
        <w:tc>
          <w:tcPr>
            <w:tcW w:w="8066" w:type="dxa"/>
          </w:tcPr>
          <w:p w:rsidR="00365416" w:rsidRPr="008C25D0" w:rsidRDefault="00365416">
            <w:pPr>
              <w:rPr>
                <w:sz w:val="24"/>
              </w:rPr>
            </w:pPr>
            <w:r w:rsidRPr="008C25D0">
              <w:t>According to the faculty evaluation procedures adopted by the Department, the information supplied by each faculty member may be designated as private information to be viewed by the Department Head (or other senior administrators) only</w:t>
            </w:r>
            <w:r w:rsidR="002A59A0">
              <w:t xml:space="preserve"> (Section C35)</w:t>
            </w:r>
            <w:r w:rsidRPr="008C25D0">
              <w:t>.</w:t>
            </w:r>
          </w:p>
        </w:tc>
      </w:tr>
    </w:tbl>
    <w:p w:rsidR="00365416" w:rsidRPr="008C25D0" w:rsidRDefault="00365416">
      <w:pPr>
        <w:jc w:val="center"/>
        <w:rPr>
          <w:b/>
          <w:sz w:val="22"/>
        </w:rPr>
      </w:pPr>
      <w:r w:rsidRPr="008C25D0">
        <w:rPr>
          <w:sz w:val="22"/>
        </w:rPr>
        <w:br w:type="page"/>
      </w:r>
      <w:proofErr w:type="gramStart"/>
      <w:r w:rsidRPr="008C25D0">
        <w:rPr>
          <w:b/>
          <w:sz w:val="22"/>
        </w:rPr>
        <w:lastRenderedPageBreak/>
        <w:t>APPENDIX 2.</w:t>
      </w:r>
      <w:proofErr w:type="gramEnd"/>
      <w:r w:rsidRPr="008C25D0">
        <w:rPr>
          <w:b/>
          <w:sz w:val="22"/>
        </w:rPr>
        <w:t xml:space="preserve"> Areas of Teaching, Research</w:t>
      </w:r>
      <w:r w:rsidR="00304486">
        <w:rPr>
          <w:b/>
          <w:sz w:val="22"/>
        </w:rPr>
        <w:t>,</w:t>
      </w:r>
      <w:r w:rsidRPr="008C25D0">
        <w:rPr>
          <w:b/>
          <w:sz w:val="22"/>
        </w:rPr>
        <w:t xml:space="preserve"> and Service</w:t>
      </w:r>
    </w:p>
    <w:p w:rsidR="00365416" w:rsidRPr="008C25D0" w:rsidRDefault="00365416">
      <w:pPr>
        <w:rPr>
          <w:b/>
          <w:sz w:val="22"/>
        </w:rPr>
      </w:pPr>
    </w:p>
    <w:p w:rsidR="00365416" w:rsidRPr="008C25D0" w:rsidRDefault="00365416">
      <w:pPr>
        <w:pStyle w:val="BodyText3"/>
        <w:rPr>
          <w:sz w:val="22"/>
        </w:rPr>
      </w:pPr>
      <w:r w:rsidRPr="008C25D0">
        <w:rPr>
          <w:sz w:val="22"/>
        </w:rPr>
        <w:t>(The following list of teaching, research</w:t>
      </w:r>
      <w:r w:rsidR="000C0270">
        <w:rPr>
          <w:sz w:val="22"/>
        </w:rPr>
        <w:t>,</w:t>
      </w:r>
      <w:r w:rsidRPr="008C25D0">
        <w:rPr>
          <w:sz w:val="22"/>
        </w:rPr>
        <w:t xml:space="preserve"> and service activities should not be considered exhaustive.  Other types of activities included in these categories may be found in the </w:t>
      </w:r>
      <w:r w:rsidR="00CC3F00">
        <w:rPr>
          <w:sz w:val="22"/>
        </w:rPr>
        <w:t>University Handbook</w:t>
      </w:r>
      <w:r w:rsidRPr="008C25D0">
        <w:rPr>
          <w:sz w:val="22"/>
        </w:rPr>
        <w:t>.)</w:t>
      </w:r>
    </w:p>
    <w:p w:rsidR="00365416" w:rsidRPr="008C25D0" w:rsidRDefault="00365416">
      <w:pPr>
        <w:rPr>
          <w:b/>
          <w:sz w:val="22"/>
        </w:rPr>
      </w:pPr>
    </w:p>
    <w:p w:rsidR="00365416" w:rsidRPr="008C25D0" w:rsidRDefault="00365416">
      <w:pPr>
        <w:rPr>
          <w:b/>
          <w:sz w:val="22"/>
        </w:rPr>
      </w:pPr>
    </w:p>
    <w:p w:rsidR="00365416" w:rsidRPr="008C25D0" w:rsidRDefault="00365416">
      <w:pPr>
        <w:rPr>
          <w:b/>
          <w:sz w:val="22"/>
        </w:rPr>
      </w:pPr>
      <w:r w:rsidRPr="008C25D0">
        <w:rPr>
          <w:b/>
          <w:sz w:val="22"/>
        </w:rPr>
        <w:t xml:space="preserve">Table A: Evidence of Teaching </w:t>
      </w:r>
      <w:r w:rsidR="009D0D7B">
        <w:rPr>
          <w:b/>
          <w:sz w:val="22"/>
        </w:rPr>
        <w:t>Excellence</w:t>
      </w:r>
      <w:r w:rsidRPr="008C25D0">
        <w:rPr>
          <w:b/>
          <w:sz w:val="22"/>
        </w:rPr>
        <w:t xml:space="preserve"> </w:t>
      </w:r>
    </w:p>
    <w:p w:rsidR="00365416" w:rsidRPr="008C25D0" w:rsidRDefault="00365416">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770"/>
      </w:tblGrid>
      <w:tr w:rsidR="00365416" w:rsidRPr="008C25D0">
        <w:tc>
          <w:tcPr>
            <w:tcW w:w="4050" w:type="dxa"/>
            <w:tcBorders>
              <w:top w:val="threeDEngrave" w:sz="12" w:space="0" w:color="auto"/>
              <w:left w:val="threeDEngrave" w:sz="12" w:space="0" w:color="auto"/>
              <w:bottom w:val="threeDEngrave" w:sz="12" w:space="0" w:color="auto"/>
            </w:tcBorders>
            <w:shd w:val="clear" w:color="auto" w:fill="FFFFFF"/>
          </w:tcPr>
          <w:p w:rsidR="00365416" w:rsidRPr="008C25D0" w:rsidRDefault="00365416">
            <w:pPr>
              <w:jc w:val="center"/>
              <w:rPr>
                <w:b/>
                <w:sz w:val="22"/>
              </w:rPr>
            </w:pPr>
          </w:p>
          <w:p w:rsidR="00365416" w:rsidRPr="008C25D0" w:rsidRDefault="00365416">
            <w:pPr>
              <w:jc w:val="center"/>
              <w:rPr>
                <w:b/>
                <w:sz w:val="22"/>
              </w:rPr>
            </w:pPr>
            <w:r w:rsidRPr="008C25D0">
              <w:rPr>
                <w:b/>
                <w:sz w:val="22"/>
              </w:rPr>
              <w:t>Items for Consideration</w:t>
            </w:r>
          </w:p>
        </w:tc>
        <w:tc>
          <w:tcPr>
            <w:tcW w:w="4770" w:type="dxa"/>
            <w:tcBorders>
              <w:top w:val="threeDEngrave" w:sz="12" w:space="0" w:color="auto"/>
              <w:bottom w:val="threeDEngrave" w:sz="12" w:space="0" w:color="auto"/>
            </w:tcBorders>
            <w:shd w:val="clear" w:color="auto" w:fill="FFFFFF"/>
          </w:tcPr>
          <w:p w:rsidR="00365416" w:rsidRPr="008C25D0" w:rsidRDefault="00365416">
            <w:pPr>
              <w:jc w:val="center"/>
              <w:rPr>
                <w:b/>
                <w:sz w:val="22"/>
              </w:rPr>
            </w:pPr>
          </w:p>
          <w:p w:rsidR="00365416" w:rsidRPr="008C25D0" w:rsidRDefault="00365416">
            <w:pPr>
              <w:jc w:val="center"/>
              <w:rPr>
                <w:b/>
                <w:sz w:val="22"/>
              </w:rPr>
            </w:pPr>
            <w:r w:rsidRPr="008C25D0">
              <w:rPr>
                <w:b/>
                <w:sz w:val="22"/>
              </w:rPr>
              <w:t>Evidence of Merit</w:t>
            </w:r>
          </w:p>
        </w:tc>
      </w:tr>
      <w:tr w:rsidR="00365416" w:rsidRPr="008C25D0">
        <w:tc>
          <w:tcPr>
            <w:tcW w:w="4050" w:type="dxa"/>
            <w:tcBorders>
              <w:top w:val="threeDEngrave" w:sz="12" w:space="0" w:color="auto"/>
            </w:tcBorders>
          </w:tcPr>
          <w:p w:rsidR="00365416" w:rsidRPr="008C25D0" w:rsidRDefault="00365416">
            <w:pPr>
              <w:rPr>
                <w:sz w:val="22"/>
              </w:rPr>
            </w:pPr>
            <w:r w:rsidRPr="008C25D0">
              <w:rPr>
                <w:sz w:val="22"/>
              </w:rPr>
              <w:t>Student Evaluations</w:t>
            </w:r>
            <w:r w:rsidR="00304486">
              <w:rPr>
                <w:sz w:val="22"/>
              </w:rPr>
              <w:t>*</w:t>
            </w:r>
          </w:p>
        </w:tc>
        <w:tc>
          <w:tcPr>
            <w:tcW w:w="4770" w:type="dxa"/>
            <w:tcBorders>
              <w:top w:val="threeDEngrave" w:sz="12" w:space="0" w:color="auto"/>
            </w:tcBorders>
          </w:tcPr>
          <w:p w:rsidR="00365416" w:rsidRPr="008C25D0" w:rsidRDefault="0092113D" w:rsidP="00475BBE">
            <w:pPr>
              <w:rPr>
                <w:sz w:val="22"/>
              </w:rPr>
            </w:pPr>
            <w:r w:rsidRPr="0064554F">
              <w:rPr>
                <w:sz w:val="22"/>
              </w:rPr>
              <w:t>High</w:t>
            </w:r>
            <w:r w:rsidR="00365416" w:rsidRPr="0064554F">
              <w:rPr>
                <w:sz w:val="22"/>
              </w:rPr>
              <w:t xml:space="preserve"> </w:t>
            </w:r>
            <w:r w:rsidR="00365416" w:rsidRPr="008C25D0">
              <w:rPr>
                <w:sz w:val="22"/>
              </w:rPr>
              <w:t xml:space="preserve">TEVAL scores (&gt; 4.2); </w:t>
            </w:r>
            <w:r w:rsidR="00475BBE">
              <w:rPr>
                <w:sz w:val="22"/>
              </w:rPr>
              <w:t>un</w:t>
            </w:r>
            <w:r w:rsidR="00365416" w:rsidRPr="008C25D0">
              <w:rPr>
                <w:sz w:val="22"/>
              </w:rPr>
              <w:t>solicited graduated student opinions</w:t>
            </w:r>
          </w:p>
        </w:tc>
      </w:tr>
      <w:tr w:rsidR="00365416" w:rsidRPr="008C25D0">
        <w:tc>
          <w:tcPr>
            <w:tcW w:w="4050" w:type="dxa"/>
          </w:tcPr>
          <w:p w:rsidR="00365416" w:rsidRPr="008C25D0" w:rsidRDefault="00365416">
            <w:pPr>
              <w:rPr>
                <w:sz w:val="22"/>
              </w:rPr>
            </w:pPr>
            <w:r w:rsidRPr="008C25D0">
              <w:rPr>
                <w:sz w:val="22"/>
              </w:rPr>
              <w:t>Published Instructional Material</w:t>
            </w:r>
          </w:p>
          <w:p w:rsidR="00365416" w:rsidRPr="008C25D0" w:rsidRDefault="00365416" w:rsidP="00475BBE">
            <w:pPr>
              <w:rPr>
                <w:sz w:val="22"/>
              </w:rPr>
            </w:pPr>
            <w:r w:rsidRPr="008C25D0">
              <w:rPr>
                <w:sz w:val="22"/>
              </w:rPr>
              <w:t xml:space="preserve">(distance learning course development; instructor manuals; video </w:t>
            </w:r>
            <w:r w:rsidR="009F3DE1">
              <w:rPr>
                <w:sz w:val="22"/>
              </w:rPr>
              <w:t>recordings</w:t>
            </w:r>
            <w:r w:rsidRPr="008C25D0">
              <w:rPr>
                <w:sz w:val="22"/>
              </w:rPr>
              <w:t xml:space="preserve">; cases; test banks; online curriculum support material; </w:t>
            </w:r>
            <w:proofErr w:type="spellStart"/>
            <w:r w:rsidRPr="008C25D0">
              <w:rPr>
                <w:sz w:val="22"/>
              </w:rPr>
              <w:t>SmartForce</w:t>
            </w:r>
            <w:proofErr w:type="spellEnd"/>
            <w:r w:rsidRPr="008C25D0">
              <w:rPr>
                <w:sz w:val="22"/>
              </w:rPr>
              <w:t xml:space="preserve"> material)</w:t>
            </w:r>
          </w:p>
        </w:tc>
        <w:tc>
          <w:tcPr>
            <w:tcW w:w="4770" w:type="dxa"/>
          </w:tcPr>
          <w:p w:rsidR="00365416" w:rsidRPr="008C25D0" w:rsidRDefault="00365416">
            <w:pPr>
              <w:rPr>
                <w:sz w:val="22"/>
              </w:rPr>
            </w:pPr>
            <w:r w:rsidRPr="008C25D0">
              <w:rPr>
                <w:sz w:val="22"/>
              </w:rPr>
              <w:t xml:space="preserve">Textbooks; invited contributions; national recognition for contribution </w:t>
            </w:r>
          </w:p>
        </w:tc>
      </w:tr>
      <w:tr w:rsidR="00365416" w:rsidRPr="008C25D0">
        <w:tc>
          <w:tcPr>
            <w:tcW w:w="4050" w:type="dxa"/>
          </w:tcPr>
          <w:p w:rsidR="00365416" w:rsidRPr="008C25D0" w:rsidRDefault="00475BBE">
            <w:pPr>
              <w:rPr>
                <w:sz w:val="22"/>
              </w:rPr>
            </w:pPr>
            <w:r>
              <w:rPr>
                <w:sz w:val="22"/>
              </w:rPr>
              <w:t>Un</w:t>
            </w:r>
            <w:r w:rsidR="00365416" w:rsidRPr="008C25D0">
              <w:rPr>
                <w:sz w:val="22"/>
              </w:rPr>
              <w:t>published Instructional Material (documentation of classroom activity; syllabi; course outlines; sample material)</w:t>
            </w:r>
          </w:p>
        </w:tc>
        <w:tc>
          <w:tcPr>
            <w:tcW w:w="4770" w:type="dxa"/>
          </w:tcPr>
          <w:p w:rsidR="00365416" w:rsidRPr="008C25D0" w:rsidRDefault="00365416">
            <w:pPr>
              <w:rPr>
                <w:sz w:val="22"/>
              </w:rPr>
            </w:pPr>
            <w:r w:rsidRPr="008C25D0">
              <w:rPr>
                <w:sz w:val="22"/>
              </w:rPr>
              <w:t>Adoption of material by other instructors; national or regional recognition</w:t>
            </w:r>
          </w:p>
        </w:tc>
      </w:tr>
      <w:tr w:rsidR="00365416" w:rsidRPr="008C25D0">
        <w:tc>
          <w:tcPr>
            <w:tcW w:w="4050" w:type="dxa"/>
          </w:tcPr>
          <w:p w:rsidR="00365416" w:rsidRPr="008C25D0" w:rsidRDefault="00365416">
            <w:pPr>
              <w:rPr>
                <w:sz w:val="22"/>
              </w:rPr>
            </w:pPr>
            <w:r w:rsidRPr="008C25D0">
              <w:rPr>
                <w:sz w:val="22"/>
              </w:rPr>
              <w:t xml:space="preserve">Instructional Technology Use (Internet-based teaching, computer software use) </w:t>
            </w:r>
          </w:p>
        </w:tc>
        <w:tc>
          <w:tcPr>
            <w:tcW w:w="4770" w:type="dxa"/>
          </w:tcPr>
          <w:p w:rsidR="00365416" w:rsidRPr="008C25D0" w:rsidRDefault="00365416">
            <w:pPr>
              <w:rPr>
                <w:sz w:val="22"/>
              </w:rPr>
            </w:pPr>
            <w:r w:rsidRPr="008C25D0">
              <w:rPr>
                <w:sz w:val="22"/>
              </w:rPr>
              <w:t>Adoption of material at other institutions; national or regional recognition</w:t>
            </w:r>
          </w:p>
        </w:tc>
      </w:tr>
      <w:tr w:rsidR="00365416" w:rsidRPr="008C25D0">
        <w:tc>
          <w:tcPr>
            <w:tcW w:w="4050" w:type="dxa"/>
          </w:tcPr>
          <w:p w:rsidR="00365416" w:rsidRPr="008C25D0" w:rsidRDefault="00365416">
            <w:pPr>
              <w:rPr>
                <w:sz w:val="22"/>
              </w:rPr>
            </w:pPr>
            <w:r w:rsidRPr="008C25D0">
              <w:rPr>
                <w:sz w:val="22"/>
              </w:rPr>
              <w:t>Curriculum Development</w:t>
            </w:r>
          </w:p>
          <w:p w:rsidR="00365416" w:rsidRPr="008C25D0" w:rsidRDefault="005C1F28">
            <w:pPr>
              <w:rPr>
                <w:sz w:val="22"/>
              </w:rPr>
            </w:pPr>
            <w:r w:rsidRPr="008C25D0">
              <w:rPr>
                <w:sz w:val="22"/>
              </w:rPr>
              <w:t>(D</w:t>
            </w:r>
            <w:r w:rsidR="00365416" w:rsidRPr="008C25D0">
              <w:rPr>
                <w:sz w:val="22"/>
              </w:rPr>
              <w:t>epartmental documents; course descriptions; new courses)</w:t>
            </w:r>
          </w:p>
        </w:tc>
        <w:tc>
          <w:tcPr>
            <w:tcW w:w="4770" w:type="dxa"/>
          </w:tcPr>
          <w:p w:rsidR="00365416" w:rsidRPr="008C25D0" w:rsidRDefault="00365416">
            <w:pPr>
              <w:rPr>
                <w:sz w:val="22"/>
              </w:rPr>
            </w:pPr>
            <w:r w:rsidRPr="008C25D0">
              <w:rPr>
                <w:sz w:val="22"/>
              </w:rPr>
              <w:t xml:space="preserve">Adoption of material at other institutions; national or regional recognition </w:t>
            </w:r>
          </w:p>
        </w:tc>
      </w:tr>
      <w:tr w:rsidR="00365416" w:rsidRPr="008C25D0">
        <w:tc>
          <w:tcPr>
            <w:tcW w:w="4050" w:type="dxa"/>
          </w:tcPr>
          <w:p w:rsidR="00365416" w:rsidRPr="008C25D0" w:rsidRDefault="00365416" w:rsidP="00475BBE">
            <w:pPr>
              <w:rPr>
                <w:sz w:val="22"/>
              </w:rPr>
            </w:pPr>
            <w:r w:rsidRPr="008C25D0">
              <w:rPr>
                <w:sz w:val="22"/>
              </w:rPr>
              <w:t xml:space="preserve">Pedagogical Research </w:t>
            </w:r>
            <w:r w:rsidR="00475BBE">
              <w:rPr>
                <w:sz w:val="22"/>
              </w:rPr>
              <w:t>and</w:t>
            </w:r>
            <w:r w:rsidR="00475BBE" w:rsidRPr="008C25D0">
              <w:rPr>
                <w:sz w:val="22"/>
              </w:rPr>
              <w:t xml:space="preserve"> </w:t>
            </w:r>
            <w:r w:rsidRPr="008C25D0">
              <w:rPr>
                <w:sz w:val="22"/>
              </w:rPr>
              <w:t>Extramural Funding</w:t>
            </w:r>
          </w:p>
        </w:tc>
        <w:tc>
          <w:tcPr>
            <w:tcW w:w="4770" w:type="dxa"/>
          </w:tcPr>
          <w:p w:rsidR="00365416" w:rsidRPr="008C25D0" w:rsidRDefault="00365416">
            <w:pPr>
              <w:rPr>
                <w:sz w:val="22"/>
              </w:rPr>
            </w:pPr>
            <w:r w:rsidRPr="008C25D0">
              <w:rPr>
                <w:sz w:val="22"/>
              </w:rPr>
              <w:t>Pedagogical articles published; funded pedagogical studies, funded proposals for curriculum development/enhancement</w:t>
            </w:r>
          </w:p>
        </w:tc>
      </w:tr>
      <w:tr w:rsidR="00365416" w:rsidRPr="008C25D0">
        <w:tc>
          <w:tcPr>
            <w:tcW w:w="4050" w:type="dxa"/>
          </w:tcPr>
          <w:p w:rsidR="00365416" w:rsidRPr="008C25D0" w:rsidRDefault="00365416">
            <w:pPr>
              <w:rPr>
                <w:sz w:val="22"/>
              </w:rPr>
            </w:pPr>
            <w:r w:rsidRPr="008C25D0">
              <w:rPr>
                <w:sz w:val="22"/>
              </w:rPr>
              <w:t>Continual Improvement</w:t>
            </w:r>
          </w:p>
          <w:p w:rsidR="00365416" w:rsidRPr="008C25D0" w:rsidRDefault="00365416">
            <w:pPr>
              <w:rPr>
                <w:sz w:val="22"/>
              </w:rPr>
            </w:pPr>
            <w:r w:rsidRPr="008C25D0">
              <w:rPr>
                <w:sz w:val="22"/>
              </w:rPr>
              <w:t>(course revisions, participation in workshops/teaching seminars)</w:t>
            </w:r>
          </w:p>
        </w:tc>
        <w:tc>
          <w:tcPr>
            <w:tcW w:w="4770" w:type="dxa"/>
          </w:tcPr>
          <w:p w:rsidR="00365416" w:rsidRPr="008C25D0" w:rsidRDefault="00365416">
            <w:pPr>
              <w:rPr>
                <w:sz w:val="22"/>
              </w:rPr>
            </w:pPr>
            <w:r w:rsidRPr="008C25D0">
              <w:rPr>
                <w:sz w:val="22"/>
              </w:rPr>
              <w:t>Certification for training received</w:t>
            </w:r>
          </w:p>
        </w:tc>
      </w:tr>
    </w:tbl>
    <w:p w:rsidR="00365416" w:rsidRPr="008C25D0" w:rsidRDefault="00365416">
      <w:pPr>
        <w:rPr>
          <w:sz w:val="22"/>
        </w:rPr>
      </w:pPr>
    </w:p>
    <w:p w:rsidR="00365416" w:rsidRPr="008C25D0" w:rsidRDefault="00365416">
      <w:pPr>
        <w:pStyle w:val="BodyTextIndent"/>
        <w:tabs>
          <w:tab w:val="clear" w:pos="360"/>
        </w:tabs>
        <w:ind w:left="270" w:hanging="270"/>
        <w:rPr>
          <w:b/>
        </w:rPr>
      </w:pPr>
      <w:r w:rsidRPr="008C25D0">
        <w:t xml:space="preserve">* </w:t>
      </w:r>
      <w:r w:rsidRPr="008C25D0">
        <w:tab/>
        <w:t xml:space="preserve">Various factors (e.g. class size, new </w:t>
      </w:r>
      <w:r w:rsidR="007C7002">
        <w:t xml:space="preserve">course </w:t>
      </w:r>
      <w:r w:rsidRPr="008C25D0">
        <w:t xml:space="preserve">preparation, grade distribution, etc.) shall be examined to determine whether they might have negatively affected the TEVAL scores.  </w:t>
      </w:r>
    </w:p>
    <w:p w:rsidR="00365416" w:rsidRPr="008C25D0" w:rsidRDefault="00365416">
      <w:pPr>
        <w:rPr>
          <w:sz w:val="22"/>
        </w:rPr>
      </w:pPr>
    </w:p>
    <w:p w:rsidR="00365416" w:rsidRPr="008C25D0" w:rsidRDefault="00365416">
      <w:pPr>
        <w:rPr>
          <w:b/>
          <w:sz w:val="22"/>
        </w:rPr>
      </w:pPr>
      <w:r w:rsidRPr="008C25D0">
        <w:rPr>
          <w:b/>
          <w:sz w:val="22"/>
        </w:rPr>
        <w:br w:type="page"/>
      </w:r>
      <w:r w:rsidRPr="008C25D0">
        <w:rPr>
          <w:b/>
          <w:sz w:val="22"/>
        </w:rPr>
        <w:lastRenderedPageBreak/>
        <w:t>Table B: Evidence of Research Productivity</w:t>
      </w:r>
    </w:p>
    <w:p w:rsidR="00365416" w:rsidRPr="008C25D0" w:rsidRDefault="00365416">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950"/>
      </w:tblGrid>
      <w:tr w:rsidR="00365416" w:rsidRPr="008C25D0">
        <w:tc>
          <w:tcPr>
            <w:tcW w:w="4050" w:type="dxa"/>
            <w:tcBorders>
              <w:top w:val="threeDEngrave" w:sz="12" w:space="0" w:color="auto"/>
              <w:left w:val="threeDEngrave" w:sz="12" w:space="0" w:color="auto"/>
              <w:bottom w:val="threeDEngrave" w:sz="12" w:space="0" w:color="auto"/>
            </w:tcBorders>
            <w:shd w:val="clear" w:color="auto" w:fill="FFFFFF"/>
          </w:tcPr>
          <w:p w:rsidR="00365416" w:rsidRPr="008C25D0" w:rsidRDefault="00365416">
            <w:pPr>
              <w:jc w:val="center"/>
              <w:rPr>
                <w:b/>
                <w:sz w:val="22"/>
              </w:rPr>
            </w:pPr>
          </w:p>
          <w:p w:rsidR="00365416" w:rsidRPr="008C25D0" w:rsidRDefault="00365416">
            <w:pPr>
              <w:jc w:val="center"/>
              <w:rPr>
                <w:b/>
                <w:sz w:val="22"/>
              </w:rPr>
            </w:pPr>
            <w:r w:rsidRPr="008C25D0">
              <w:rPr>
                <w:b/>
                <w:sz w:val="22"/>
              </w:rPr>
              <w:t>Items for Consideration</w:t>
            </w:r>
          </w:p>
        </w:tc>
        <w:tc>
          <w:tcPr>
            <w:tcW w:w="4950" w:type="dxa"/>
            <w:tcBorders>
              <w:top w:val="threeDEngrave" w:sz="12" w:space="0" w:color="auto"/>
              <w:bottom w:val="threeDEngrave" w:sz="12" w:space="0" w:color="auto"/>
            </w:tcBorders>
            <w:shd w:val="clear" w:color="auto" w:fill="FFFFFF"/>
          </w:tcPr>
          <w:p w:rsidR="00365416" w:rsidRPr="008C25D0" w:rsidRDefault="00365416">
            <w:pPr>
              <w:jc w:val="center"/>
              <w:rPr>
                <w:b/>
                <w:sz w:val="22"/>
              </w:rPr>
            </w:pPr>
          </w:p>
          <w:p w:rsidR="00365416" w:rsidRPr="008C25D0" w:rsidRDefault="00365416">
            <w:pPr>
              <w:pStyle w:val="Heading7"/>
            </w:pPr>
            <w:r w:rsidRPr="008C25D0">
              <w:t>Evidence of Merit</w:t>
            </w:r>
          </w:p>
        </w:tc>
      </w:tr>
      <w:tr w:rsidR="00365416" w:rsidRPr="008C25D0">
        <w:tc>
          <w:tcPr>
            <w:tcW w:w="4050" w:type="dxa"/>
            <w:tcBorders>
              <w:top w:val="threeDEngrave" w:sz="12" w:space="0" w:color="auto"/>
            </w:tcBorders>
          </w:tcPr>
          <w:p w:rsidR="00365416" w:rsidRPr="008C25D0" w:rsidRDefault="00365416">
            <w:pPr>
              <w:rPr>
                <w:sz w:val="22"/>
              </w:rPr>
            </w:pPr>
            <w:r w:rsidRPr="008C25D0">
              <w:rPr>
                <w:sz w:val="22"/>
              </w:rPr>
              <w:t>Refereed Journal Publications (field centered or interdisciplinary research)</w:t>
            </w:r>
          </w:p>
        </w:tc>
        <w:tc>
          <w:tcPr>
            <w:tcW w:w="4950" w:type="dxa"/>
            <w:tcBorders>
              <w:top w:val="threeDEngrave" w:sz="12" w:space="0" w:color="auto"/>
            </w:tcBorders>
          </w:tcPr>
          <w:p w:rsidR="00365416" w:rsidRPr="008C25D0" w:rsidRDefault="00365416" w:rsidP="00475BBE">
            <w:pPr>
              <w:rPr>
                <w:sz w:val="22"/>
              </w:rPr>
            </w:pPr>
            <w:r w:rsidRPr="008C25D0">
              <w:rPr>
                <w:sz w:val="22"/>
              </w:rPr>
              <w:t xml:space="preserve">Publications in highly-ranked journals; citation lists; invited articles; lead author on articles; </w:t>
            </w:r>
            <w:r w:rsidR="00475BBE">
              <w:rPr>
                <w:sz w:val="22"/>
              </w:rPr>
              <w:t>single</w:t>
            </w:r>
            <w:r w:rsidRPr="008C25D0">
              <w:rPr>
                <w:sz w:val="22"/>
              </w:rPr>
              <w:t>-authored articles</w:t>
            </w:r>
          </w:p>
        </w:tc>
      </w:tr>
      <w:tr w:rsidR="00365416" w:rsidRPr="008C25D0">
        <w:tc>
          <w:tcPr>
            <w:tcW w:w="4050" w:type="dxa"/>
          </w:tcPr>
          <w:p w:rsidR="00365416" w:rsidRPr="008C25D0" w:rsidRDefault="00365416">
            <w:pPr>
              <w:rPr>
                <w:sz w:val="22"/>
              </w:rPr>
            </w:pPr>
            <w:r w:rsidRPr="008C25D0">
              <w:rPr>
                <w:sz w:val="22"/>
              </w:rPr>
              <w:t>Refereed Conference Proceedings</w:t>
            </w:r>
          </w:p>
        </w:tc>
        <w:tc>
          <w:tcPr>
            <w:tcW w:w="4950" w:type="dxa"/>
          </w:tcPr>
          <w:p w:rsidR="00365416" w:rsidRPr="008C25D0" w:rsidRDefault="00365416">
            <w:pPr>
              <w:rPr>
                <w:sz w:val="22"/>
              </w:rPr>
            </w:pPr>
            <w:r w:rsidRPr="008C25D0">
              <w:rPr>
                <w:sz w:val="22"/>
              </w:rPr>
              <w:t>Best paper proceedings; invited articles</w:t>
            </w:r>
          </w:p>
        </w:tc>
      </w:tr>
      <w:tr w:rsidR="00365416" w:rsidRPr="008C25D0">
        <w:tc>
          <w:tcPr>
            <w:tcW w:w="4050" w:type="dxa"/>
          </w:tcPr>
          <w:p w:rsidR="00365416" w:rsidRPr="008C25D0" w:rsidRDefault="00365416">
            <w:pPr>
              <w:rPr>
                <w:sz w:val="22"/>
              </w:rPr>
            </w:pPr>
            <w:r w:rsidRPr="008C25D0">
              <w:rPr>
                <w:sz w:val="22"/>
              </w:rPr>
              <w:t>Extramural Funding</w:t>
            </w:r>
          </w:p>
          <w:p w:rsidR="00365416" w:rsidRPr="008C25D0" w:rsidRDefault="00365416">
            <w:pPr>
              <w:rPr>
                <w:sz w:val="22"/>
              </w:rPr>
            </w:pPr>
            <w:r w:rsidRPr="008C25D0">
              <w:rPr>
                <w:sz w:val="22"/>
              </w:rPr>
              <w:t>(submitted proposals)</w:t>
            </w:r>
          </w:p>
        </w:tc>
        <w:tc>
          <w:tcPr>
            <w:tcW w:w="4950" w:type="dxa"/>
          </w:tcPr>
          <w:p w:rsidR="00365416" w:rsidRPr="00A65B41" w:rsidRDefault="00365416" w:rsidP="00841268">
            <w:pPr>
              <w:rPr>
                <w:rFonts w:eastAsia="Batang"/>
                <w:sz w:val="22"/>
                <w:szCs w:val="22"/>
                <w:lang w:eastAsia="ja-JP"/>
              </w:rPr>
            </w:pPr>
            <w:r w:rsidRPr="00A65B41">
              <w:rPr>
                <w:sz w:val="22"/>
                <w:szCs w:val="22"/>
              </w:rPr>
              <w:t>Funded proposals (</w:t>
            </w:r>
            <w:r w:rsidRPr="00A65B41">
              <w:rPr>
                <w:rFonts w:eastAsia="Batang"/>
                <w:sz w:val="22"/>
                <w:szCs w:val="22"/>
                <w:lang w:eastAsia="ja-JP"/>
              </w:rPr>
              <w:t>prestige of granting institution, magnitude of grant, benefits to the Dep</w:t>
            </w:r>
            <w:r w:rsidR="00841268">
              <w:rPr>
                <w:rFonts w:eastAsia="Batang"/>
                <w:sz w:val="22"/>
                <w:szCs w:val="22"/>
                <w:lang w:eastAsia="ja-JP"/>
              </w:rPr>
              <w:t>artment</w:t>
            </w:r>
            <w:r w:rsidRPr="00A65B41">
              <w:rPr>
                <w:rFonts w:eastAsia="Batang"/>
                <w:sz w:val="22"/>
                <w:szCs w:val="22"/>
                <w:lang w:eastAsia="ja-JP"/>
              </w:rPr>
              <w:t xml:space="preserve">) </w:t>
            </w:r>
          </w:p>
        </w:tc>
      </w:tr>
      <w:tr w:rsidR="00365416" w:rsidRPr="008C25D0">
        <w:tc>
          <w:tcPr>
            <w:tcW w:w="4050" w:type="dxa"/>
          </w:tcPr>
          <w:p w:rsidR="00365416" w:rsidRPr="008C25D0" w:rsidRDefault="00365416">
            <w:pPr>
              <w:rPr>
                <w:sz w:val="22"/>
              </w:rPr>
            </w:pPr>
            <w:r w:rsidRPr="008C25D0">
              <w:rPr>
                <w:sz w:val="22"/>
              </w:rPr>
              <w:t>Other Intellectual Products</w:t>
            </w:r>
          </w:p>
          <w:p w:rsidR="00365416" w:rsidRPr="008C25D0" w:rsidRDefault="00365416" w:rsidP="007C7002">
            <w:pPr>
              <w:rPr>
                <w:sz w:val="22"/>
              </w:rPr>
            </w:pPr>
            <w:r w:rsidRPr="008C25D0">
              <w:rPr>
                <w:sz w:val="22"/>
              </w:rPr>
              <w:t xml:space="preserve">(research books, book chapters, book reviews, trade journals, newspapers, practitioner, </w:t>
            </w:r>
            <w:r w:rsidR="00883D4D">
              <w:rPr>
                <w:sz w:val="22"/>
              </w:rPr>
              <w:t>I</w:t>
            </w:r>
            <w:r w:rsidRPr="008C25D0">
              <w:rPr>
                <w:sz w:val="22"/>
              </w:rPr>
              <w:t xml:space="preserve">nternet-based </w:t>
            </w:r>
            <w:r w:rsidR="007C7002">
              <w:rPr>
                <w:sz w:val="22"/>
              </w:rPr>
              <w:t>journals</w:t>
            </w:r>
            <w:r w:rsidRPr="008C25D0">
              <w:rPr>
                <w:sz w:val="22"/>
              </w:rPr>
              <w:t>, computer software)</w:t>
            </w:r>
          </w:p>
        </w:tc>
        <w:tc>
          <w:tcPr>
            <w:tcW w:w="4950" w:type="dxa"/>
          </w:tcPr>
          <w:p w:rsidR="00365416" w:rsidRPr="008C25D0" w:rsidRDefault="00365416">
            <w:pPr>
              <w:rPr>
                <w:sz w:val="22"/>
              </w:rPr>
            </w:pPr>
            <w:r w:rsidRPr="008C25D0">
              <w:rPr>
                <w:sz w:val="22"/>
              </w:rPr>
              <w:t>Inventions/patents; commercialized products/ software</w:t>
            </w:r>
          </w:p>
        </w:tc>
      </w:tr>
      <w:tr w:rsidR="00365416" w:rsidRPr="008C25D0">
        <w:tc>
          <w:tcPr>
            <w:tcW w:w="4050" w:type="dxa"/>
          </w:tcPr>
          <w:p w:rsidR="00365416" w:rsidRPr="008C25D0" w:rsidRDefault="00365416">
            <w:pPr>
              <w:rPr>
                <w:sz w:val="22"/>
              </w:rPr>
            </w:pPr>
            <w:r w:rsidRPr="008C25D0">
              <w:rPr>
                <w:sz w:val="22"/>
              </w:rPr>
              <w:t>Presentations</w:t>
            </w:r>
          </w:p>
          <w:p w:rsidR="00365416" w:rsidRPr="008C25D0" w:rsidRDefault="00365416">
            <w:pPr>
              <w:rPr>
                <w:sz w:val="22"/>
              </w:rPr>
            </w:pPr>
            <w:r w:rsidRPr="008C25D0">
              <w:rPr>
                <w:sz w:val="22"/>
              </w:rPr>
              <w:t>(oral presentations, industry workshops, poster sessions, interviews)</w:t>
            </w:r>
          </w:p>
        </w:tc>
        <w:tc>
          <w:tcPr>
            <w:tcW w:w="4950" w:type="dxa"/>
          </w:tcPr>
          <w:p w:rsidR="00365416" w:rsidRPr="008C25D0" w:rsidRDefault="00365416">
            <w:pPr>
              <w:rPr>
                <w:sz w:val="22"/>
              </w:rPr>
            </w:pPr>
            <w:r w:rsidRPr="008C25D0">
              <w:rPr>
                <w:sz w:val="22"/>
              </w:rPr>
              <w:t>Invited speaker</w:t>
            </w:r>
          </w:p>
        </w:tc>
      </w:tr>
      <w:tr w:rsidR="00365416" w:rsidRPr="008C25D0">
        <w:tc>
          <w:tcPr>
            <w:tcW w:w="4050" w:type="dxa"/>
          </w:tcPr>
          <w:p w:rsidR="00365416" w:rsidRPr="008C25D0" w:rsidRDefault="00365416">
            <w:pPr>
              <w:rPr>
                <w:sz w:val="22"/>
              </w:rPr>
            </w:pPr>
            <w:r w:rsidRPr="008C25D0">
              <w:rPr>
                <w:sz w:val="22"/>
              </w:rPr>
              <w:t>Current Research</w:t>
            </w:r>
          </w:p>
          <w:p w:rsidR="00365416" w:rsidRPr="008C25D0" w:rsidRDefault="00365416">
            <w:pPr>
              <w:rPr>
                <w:sz w:val="22"/>
              </w:rPr>
            </w:pPr>
            <w:r w:rsidRPr="008C25D0">
              <w:rPr>
                <w:sz w:val="22"/>
              </w:rPr>
              <w:t>(papers under revision/review)</w:t>
            </w:r>
          </w:p>
        </w:tc>
        <w:tc>
          <w:tcPr>
            <w:tcW w:w="4950" w:type="dxa"/>
          </w:tcPr>
          <w:p w:rsidR="00365416" w:rsidRPr="008C25D0" w:rsidRDefault="007C7002">
            <w:pPr>
              <w:rPr>
                <w:sz w:val="22"/>
              </w:rPr>
            </w:pPr>
            <w:r>
              <w:rPr>
                <w:sz w:val="22"/>
              </w:rPr>
              <w:t>Manuscripts under revision/review</w:t>
            </w:r>
          </w:p>
        </w:tc>
      </w:tr>
    </w:tbl>
    <w:p w:rsidR="00365416" w:rsidRPr="008C25D0" w:rsidRDefault="00365416">
      <w:pPr>
        <w:rPr>
          <w:sz w:val="22"/>
        </w:rPr>
      </w:pPr>
    </w:p>
    <w:p w:rsidR="00365416" w:rsidRPr="008C25D0" w:rsidRDefault="00365416">
      <w:pPr>
        <w:rPr>
          <w:sz w:val="22"/>
        </w:rPr>
      </w:pPr>
    </w:p>
    <w:p w:rsidR="00365416" w:rsidRPr="008C25D0" w:rsidRDefault="00365416">
      <w:pPr>
        <w:rPr>
          <w:sz w:val="22"/>
        </w:rPr>
      </w:pPr>
    </w:p>
    <w:p w:rsidR="00365416" w:rsidRPr="008C25D0" w:rsidRDefault="00365416">
      <w:pPr>
        <w:rPr>
          <w:b/>
          <w:sz w:val="22"/>
        </w:rPr>
      </w:pPr>
      <w:r w:rsidRPr="008C25D0">
        <w:rPr>
          <w:b/>
          <w:sz w:val="22"/>
        </w:rPr>
        <w:t xml:space="preserve">Table C: Evidence of Service and Professional Activity </w:t>
      </w:r>
    </w:p>
    <w:p w:rsidR="00365416" w:rsidRPr="008C25D0" w:rsidRDefault="00365416">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770"/>
      </w:tblGrid>
      <w:tr w:rsidR="00365416" w:rsidRPr="008C25D0">
        <w:tc>
          <w:tcPr>
            <w:tcW w:w="4050" w:type="dxa"/>
            <w:tcBorders>
              <w:top w:val="threeDEngrave" w:sz="12" w:space="0" w:color="auto"/>
              <w:left w:val="threeDEngrave" w:sz="12" w:space="0" w:color="auto"/>
              <w:bottom w:val="threeDEngrave" w:sz="12" w:space="0" w:color="auto"/>
            </w:tcBorders>
            <w:shd w:val="clear" w:color="auto" w:fill="FFFFFF"/>
          </w:tcPr>
          <w:p w:rsidR="00365416" w:rsidRPr="008C25D0" w:rsidRDefault="00365416">
            <w:pPr>
              <w:jc w:val="center"/>
              <w:rPr>
                <w:b/>
                <w:sz w:val="22"/>
              </w:rPr>
            </w:pPr>
          </w:p>
          <w:p w:rsidR="00365416" w:rsidRPr="008C25D0" w:rsidRDefault="00365416">
            <w:pPr>
              <w:jc w:val="center"/>
              <w:rPr>
                <w:b/>
                <w:sz w:val="22"/>
              </w:rPr>
            </w:pPr>
            <w:r w:rsidRPr="008C25D0">
              <w:rPr>
                <w:b/>
                <w:sz w:val="22"/>
              </w:rPr>
              <w:t>Items for Consideration</w:t>
            </w:r>
          </w:p>
        </w:tc>
        <w:tc>
          <w:tcPr>
            <w:tcW w:w="4770" w:type="dxa"/>
            <w:tcBorders>
              <w:top w:val="threeDEngrave" w:sz="12" w:space="0" w:color="auto"/>
              <w:bottom w:val="threeDEngrave" w:sz="12" w:space="0" w:color="auto"/>
            </w:tcBorders>
            <w:shd w:val="clear" w:color="auto" w:fill="FFFFFF"/>
          </w:tcPr>
          <w:p w:rsidR="00365416" w:rsidRPr="008C25D0" w:rsidRDefault="00365416">
            <w:pPr>
              <w:jc w:val="center"/>
              <w:rPr>
                <w:b/>
                <w:sz w:val="22"/>
              </w:rPr>
            </w:pPr>
          </w:p>
          <w:p w:rsidR="00365416" w:rsidRPr="008C25D0" w:rsidRDefault="00365416">
            <w:pPr>
              <w:jc w:val="center"/>
              <w:rPr>
                <w:b/>
                <w:sz w:val="22"/>
              </w:rPr>
            </w:pPr>
            <w:r w:rsidRPr="008C25D0">
              <w:rPr>
                <w:b/>
                <w:sz w:val="22"/>
              </w:rPr>
              <w:t>Evidence of Merit</w:t>
            </w:r>
          </w:p>
        </w:tc>
      </w:tr>
      <w:tr w:rsidR="00365416" w:rsidRPr="008C25D0">
        <w:tc>
          <w:tcPr>
            <w:tcW w:w="4050" w:type="dxa"/>
            <w:tcBorders>
              <w:top w:val="threeDEngrave" w:sz="12" w:space="0" w:color="auto"/>
            </w:tcBorders>
          </w:tcPr>
          <w:p w:rsidR="00365416" w:rsidRPr="008C25D0" w:rsidRDefault="00365416">
            <w:pPr>
              <w:rPr>
                <w:sz w:val="22"/>
              </w:rPr>
            </w:pPr>
            <w:r w:rsidRPr="008C25D0">
              <w:rPr>
                <w:sz w:val="22"/>
              </w:rPr>
              <w:t>Committee Assignments</w:t>
            </w:r>
          </w:p>
          <w:p w:rsidR="00365416" w:rsidRPr="008C25D0" w:rsidRDefault="005C1F28" w:rsidP="00475BBE">
            <w:pPr>
              <w:rPr>
                <w:sz w:val="22"/>
              </w:rPr>
            </w:pPr>
            <w:r w:rsidRPr="008C25D0">
              <w:rPr>
                <w:sz w:val="22"/>
              </w:rPr>
              <w:t xml:space="preserve">(service on </w:t>
            </w:r>
            <w:r w:rsidR="00475BBE">
              <w:rPr>
                <w:sz w:val="22"/>
              </w:rPr>
              <w:t>d</w:t>
            </w:r>
            <w:r w:rsidR="00475BBE" w:rsidRPr="008C25D0">
              <w:rPr>
                <w:sz w:val="22"/>
              </w:rPr>
              <w:t>epartment</w:t>
            </w:r>
            <w:r w:rsidR="00475BBE">
              <w:rPr>
                <w:sz w:val="22"/>
              </w:rPr>
              <w:t>al</w:t>
            </w:r>
            <w:r w:rsidRPr="008C25D0">
              <w:rPr>
                <w:sz w:val="22"/>
              </w:rPr>
              <w:t xml:space="preserve">, </w:t>
            </w:r>
            <w:r w:rsidR="00475BBE">
              <w:rPr>
                <w:sz w:val="22"/>
              </w:rPr>
              <w:t>c</w:t>
            </w:r>
            <w:r w:rsidR="00475BBE" w:rsidRPr="008C25D0">
              <w:rPr>
                <w:sz w:val="22"/>
              </w:rPr>
              <w:t>ollege</w:t>
            </w:r>
            <w:r w:rsidRPr="008C25D0">
              <w:rPr>
                <w:sz w:val="22"/>
              </w:rPr>
              <w:t xml:space="preserve">, </w:t>
            </w:r>
            <w:r w:rsidR="00475BBE">
              <w:rPr>
                <w:sz w:val="22"/>
              </w:rPr>
              <w:t>u</w:t>
            </w:r>
            <w:r w:rsidR="00475BBE" w:rsidRPr="008C25D0">
              <w:rPr>
                <w:sz w:val="22"/>
              </w:rPr>
              <w:t>niversity</w:t>
            </w:r>
            <w:r w:rsidR="00365416" w:rsidRPr="008C25D0">
              <w:rPr>
                <w:sz w:val="22"/>
              </w:rPr>
              <w:t>, dissertation committees and student organizations during period under consideration)</w:t>
            </w:r>
            <w:r w:rsidR="006E2511">
              <w:rPr>
                <w:sz w:val="22"/>
              </w:rPr>
              <w:t xml:space="preserve"> </w:t>
            </w:r>
          </w:p>
        </w:tc>
        <w:tc>
          <w:tcPr>
            <w:tcW w:w="4770" w:type="dxa"/>
            <w:tcBorders>
              <w:top w:val="threeDEngrave" w:sz="12" w:space="0" w:color="auto"/>
            </w:tcBorders>
          </w:tcPr>
          <w:p w:rsidR="00365416" w:rsidRPr="008C25D0" w:rsidRDefault="00365416">
            <w:pPr>
              <w:rPr>
                <w:sz w:val="22"/>
              </w:rPr>
            </w:pPr>
            <w:r w:rsidRPr="008C25D0">
              <w:rPr>
                <w:sz w:val="22"/>
              </w:rPr>
              <w:t>Leadership roles; special recognition by college or university</w:t>
            </w:r>
          </w:p>
        </w:tc>
      </w:tr>
      <w:tr w:rsidR="00365416" w:rsidRPr="008C25D0">
        <w:tc>
          <w:tcPr>
            <w:tcW w:w="4050" w:type="dxa"/>
          </w:tcPr>
          <w:p w:rsidR="00365416" w:rsidRPr="008C25D0" w:rsidRDefault="00365416">
            <w:pPr>
              <w:rPr>
                <w:sz w:val="22"/>
              </w:rPr>
            </w:pPr>
            <w:r w:rsidRPr="008C25D0">
              <w:rPr>
                <w:sz w:val="22"/>
              </w:rPr>
              <w:t>Service to the Profession  (service at regional or national conferences; article reviews; student trips; community involvement related to profession)</w:t>
            </w:r>
          </w:p>
        </w:tc>
        <w:tc>
          <w:tcPr>
            <w:tcW w:w="4770" w:type="dxa"/>
          </w:tcPr>
          <w:p w:rsidR="00365416" w:rsidRPr="008C25D0" w:rsidRDefault="00365416" w:rsidP="00475BBE">
            <w:pPr>
              <w:rPr>
                <w:sz w:val="22"/>
              </w:rPr>
            </w:pPr>
            <w:r w:rsidRPr="008C25D0">
              <w:rPr>
                <w:sz w:val="22"/>
              </w:rPr>
              <w:t xml:space="preserve">Editorships; editorial board membership; recognition by peers outside </w:t>
            </w:r>
            <w:r w:rsidR="00475BBE">
              <w:rPr>
                <w:sz w:val="22"/>
              </w:rPr>
              <w:t>K-State</w:t>
            </w:r>
            <w:r w:rsidRPr="008C25D0">
              <w:rPr>
                <w:sz w:val="22"/>
              </w:rPr>
              <w:t xml:space="preserve">; conference boards   </w:t>
            </w:r>
          </w:p>
        </w:tc>
      </w:tr>
      <w:tr w:rsidR="00365416" w:rsidRPr="008C25D0">
        <w:tc>
          <w:tcPr>
            <w:tcW w:w="4050" w:type="dxa"/>
          </w:tcPr>
          <w:p w:rsidR="00365416" w:rsidRPr="008C25D0" w:rsidRDefault="00365416">
            <w:pPr>
              <w:rPr>
                <w:sz w:val="22"/>
              </w:rPr>
            </w:pPr>
            <w:r w:rsidRPr="008C25D0">
              <w:rPr>
                <w:sz w:val="22"/>
              </w:rPr>
              <w:t xml:space="preserve">Leadership, Cooperation, Initiative, Enthusiasm (mentoring; supporting departmental activities; supporting visiting organizations) </w:t>
            </w:r>
          </w:p>
        </w:tc>
        <w:tc>
          <w:tcPr>
            <w:tcW w:w="4770" w:type="dxa"/>
          </w:tcPr>
          <w:p w:rsidR="00365416" w:rsidRPr="008C25D0" w:rsidRDefault="00365416">
            <w:pPr>
              <w:rPr>
                <w:sz w:val="22"/>
              </w:rPr>
            </w:pPr>
            <w:r w:rsidRPr="008C25D0">
              <w:rPr>
                <w:sz w:val="22"/>
              </w:rPr>
              <w:t>Chairing committees; leadership in professional organizations; gaining extramural support that aids others’ teaching and research efforts.</w:t>
            </w:r>
          </w:p>
        </w:tc>
      </w:tr>
      <w:tr w:rsidR="00365416" w:rsidRPr="008C25D0">
        <w:tc>
          <w:tcPr>
            <w:tcW w:w="4050" w:type="dxa"/>
          </w:tcPr>
          <w:p w:rsidR="00365416" w:rsidRPr="008C25D0" w:rsidRDefault="00365416">
            <w:pPr>
              <w:rPr>
                <w:sz w:val="22"/>
              </w:rPr>
            </w:pPr>
            <w:r w:rsidRPr="008C25D0">
              <w:rPr>
                <w:sz w:val="22"/>
              </w:rPr>
              <w:t>International Activities (promote scholarly and teaching collaboration</w:t>
            </w:r>
            <w:r w:rsidRPr="008C25D0">
              <w:rPr>
                <w:rFonts w:hint="eastAsia"/>
                <w:sz w:val="22"/>
                <w:lang w:eastAsia="zh-TW"/>
              </w:rPr>
              <w:t>s</w:t>
            </w:r>
            <w:r w:rsidRPr="008C25D0">
              <w:rPr>
                <w:sz w:val="22"/>
              </w:rPr>
              <w:t xml:space="preserve"> with international universities) </w:t>
            </w:r>
          </w:p>
        </w:tc>
        <w:tc>
          <w:tcPr>
            <w:tcW w:w="4770" w:type="dxa"/>
          </w:tcPr>
          <w:p w:rsidR="00365416" w:rsidRPr="008C25D0" w:rsidRDefault="00365416">
            <w:pPr>
              <w:rPr>
                <w:sz w:val="22"/>
              </w:rPr>
            </w:pPr>
            <w:r w:rsidRPr="008C25D0">
              <w:rPr>
                <w:sz w:val="22"/>
              </w:rPr>
              <w:t>Arrange student/faculty exchange, participate in study abroad program</w:t>
            </w:r>
          </w:p>
        </w:tc>
      </w:tr>
    </w:tbl>
    <w:p w:rsidR="00365416" w:rsidRPr="008C25D0" w:rsidRDefault="00365416">
      <w:pPr>
        <w:rPr>
          <w:sz w:val="22"/>
        </w:rPr>
      </w:pPr>
    </w:p>
    <w:p w:rsidR="00F73285" w:rsidRDefault="00365416" w:rsidP="00F73285">
      <w:pPr>
        <w:pStyle w:val="Heading3"/>
        <w:spacing w:before="0" w:beforeAutospacing="0" w:after="0" w:afterAutospacing="0"/>
        <w:jc w:val="center"/>
        <w:rPr>
          <w:sz w:val="22"/>
        </w:rPr>
      </w:pPr>
      <w:r w:rsidRPr="008C25D0">
        <w:rPr>
          <w:sz w:val="22"/>
        </w:rPr>
        <w:br w:type="page"/>
      </w:r>
      <w:proofErr w:type="gramStart"/>
      <w:r w:rsidRPr="008C25D0">
        <w:rPr>
          <w:sz w:val="22"/>
        </w:rPr>
        <w:lastRenderedPageBreak/>
        <w:t>APPENDIX 3.</w:t>
      </w:r>
      <w:proofErr w:type="gramEnd"/>
      <w:r w:rsidRPr="008C25D0">
        <w:rPr>
          <w:sz w:val="22"/>
        </w:rPr>
        <w:t xml:space="preserve"> Time</w:t>
      </w:r>
      <w:r w:rsidR="008F6A75">
        <w:rPr>
          <w:sz w:val="22"/>
        </w:rPr>
        <w:t>t</w:t>
      </w:r>
      <w:r w:rsidRPr="008C25D0">
        <w:rPr>
          <w:sz w:val="22"/>
        </w:rPr>
        <w:t>ables</w:t>
      </w:r>
      <w:r w:rsidR="00F73285">
        <w:rPr>
          <w:sz w:val="22"/>
        </w:rPr>
        <w:t xml:space="preserve"> </w:t>
      </w:r>
    </w:p>
    <w:p w:rsidR="00365416" w:rsidRPr="008C25D0" w:rsidRDefault="00F73285" w:rsidP="00F73285">
      <w:pPr>
        <w:pStyle w:val="Heading3"/>
        <w:spacing w:before="0" w:beforeAutospacing="0" w:after="0" w:afterAutospacing="0"/>
        <w:jc w:val="center"/>
        <w:rPr>
          <w:sz w:val="22"/>
        </w:rPr>
      </w:pPr>
      <w:r>
        <w:rPr>
          <w:sz w:val="22"/>
        </w:rPr>
        <w:t>(</w:t>
      </w:r>
      <w:r w:rsidR="004861FB">
        <w:rPr>
          <w:sz w:val="22"/>
        </w:rPr>
        <w:t>The exact</w:t>
      </w:r>
      <w:r>
        <w:rPr>
          <w:sz w:val="22"/>
        </w:rPr>
        <w:t xml:space="preserve"> dates </w:t>
      </w:r>
      <w:r w:rsidR="004861FB">
        <w:rPr>
          <w:sz w:val="22"/>
        </w:rPr>
        <w:t xml:space="preserve">are determined </w:t>
      </w:r>
      <w:r>
        <w:rPr>
          <w:sz w:val="22"/>
        </w:rPr>
        <w:t xml:space="preserve">subject to the </w:t>
      </w:r>
      <w:r w:rsidR="00475BBE">
        <w:rPr>
          <w:sz w:val="22"/>
        </w:rPr>
        <w:t xml:space="preserve">university and college </w:t>
      </w:r>
      <w:r w:rsidR="004861FB">
        <w:rPr>
          <w:sz w:val="22"/>
        </w:rPr>
        <w:t>calendars</w:t>
      </w:r>
      <w:r>
        <w:rPr>
          <w:sz w:val="22"/>
        </w:rPr>
        <w:t>)</w:t>
      </w:r>
    </w:p>
    <w:p w:rsidR="00365416" w:rsidRPr="008C25D0" w:rsidRDefault="004861FB" w:rsidP="004861FB">
      <w:pPr>
        <w:tabs>
          <w:tab w:val="left" w:pos="6874"/>
        </w:tabs>
        <w:rPr>
          <w:b/>
          <w:sz w:val="22"/>
        </w:rPr>
      </w:pPr>
      <w:r>
        <w:rPr>
          <w:b/>
          <w:sz w:val="22"/>
        </w:rPr>
        <w:tab/>
      </w:r>
    </w:p>
    <w:p w:rsidR="00365416" w:rsidRPr="008C25D0" w:rsidRDefault="00365416">
      <w:pPr>
        <w:rPr>
          <w:b/>
          <w:sz w:val="22"/>
        </w:rPr>
      </w:pPr>
      <w:r w:rsidRPr="008C25D0">
        <w:rPr>
          <w:b/>
          <w:sz w:val="22"/>
        </w:rPr>
        <w:t>A. Annual Evaluations</w:t>
      </w:r>
    </w:p>
    <w:p w:rsidR="00365416" w:rsidRPr="008C25D0" w:rsidRDefault="0036541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5778"/>
      </w:tblGrid>
      <w:tr w:rsidR="00365416" w:rsidRPr="008C25D0">
        <w:trPr>
          <w:trHeight w:hRule="exact" w:val="400"/>
        </w:trPr>
        <w:tc>
          <w:tcPr>
            <w:tcW w:w="3078" w:type="dxa"/>
            <w:tcBorders>
              <w:top w:val="threeDEngrave" w:sz="12" w:space="0" w:color="auto"/>
              <w:left w:val="threeDEngrave" w:sz="12" w:space="0" w:color="auto"/>
              <w:bottom w:val="threeDEngrave" w:sz="12" w:space="0" w:color="auto"/>
            </w:tcBorders>
            <w:shd w:val="clear" w:color="auto" w:fill="FFFFFF"/>
          </w:tcPr>
          <w:p w:rsidR="00365416" w:rsidRPr="008C25D0" w:rsidRDefault="00365416">
            <w:pPr>
              <w:jc w:val="center"/>
              <w:rPr>
                <w:b/>
                <w:sz w:val="22"/>
              </w:rPr>
            </w:pPr>
            <w:r w:rsidRPr="008C25D0">
              <w:rPr>
                <w:b/>
                <w:sz w:val="22"/>
              </w:rPr>
              <w:t>Date for Completion</w:t>
            </w:r>
          </w:p>
          <w:p w:rsidR="00365416" w:rsidRPr="008C25D0" w:rsidRDefault="00365416">
            <w:pPr>
              <w:jc w:val="center"/>
              <w:rPr>
                <w:b/>
                <w:sz w:val="22"/>
              </w:rPr>
            </w:pPr>
          </w:p>
          <w:p w:rsidR="00365416" w:rsidRPr="008C25D0" w:rsidRDefault="00365416">
            <w:pPr>
              <w:jc w:val="center"/>
              <w:rPr>
                <w:b/>
                <w:sz w:val="22"/>
              </w:rPr>
            </w:pPr>
            <w:r w:rsidRPr="008C25D0">
              <w:rPr>
                <w:b/>
                <w:sz w:val="22"/>
              </w:rPr>
              <w:t>Date for Completion</w:t>
            </w:r>
          </w:p>
        </w:tc>
        <w:tc>
          <w:tcPr>
            <w:tcW w:w="5778" w:type="dxa"/>
            <w:tcBorders>
              <w:top w:val="threeDEngrave" w:sz="12" w:space="0" w:color="auto"/>
              <w:bottom w:val="threeDEngrave" w:sz="12" w:space="0" w:color="auto"/>
              <w:right w:val="threeDEngrave" w:sz="12" w:space="0" w:color="auto"/>
            </w:tcBorders>
            <w:shd w:val="clear" w:color="auto" w:fill="FFFFFF"/>
          </w:tcPr>
          <w:p w:rsidR="00365416" w:rsidRPr="008C25D0" w:rsidRDefault="00365416">
            <w:pPr>
              <w:jc w:val="center"/>
              <w:rPr>
                <w:b/>
                <w:sz w:val="22"/>
              </w:rPr>
            </w:pPr>
            <w:r w:rsidRPr="008C25D0">
              <w:rPr>
                <w:b/>
                <w:sz w:val="22"/>
              </w:rPr>
              <w:t>Action</w:t>
            </w:r>
          </w:p>
          <w:p w:rsidR="00365416" w:rsidRPr="008C25D0" w:rsidRDefault="00365416">
            <w:pPr>
              <w:jc w:val="center"/>
              <w:rPr>
                <w:b/>
                <w:sz w:val="22"/>
              </w:rPr>
            </w:pPr>
          </w:p>
          <w:p w:rsidR="00365416" w:rsidRPr="008C25D0" w:rsidRDefault="00365416">
            <w:pPr>
              <w:jc w:val="center"/>
              <w:rPr>
                <w:b/>
                <w:sz w:val="22"/>
              </w:rPr>
            </w:pPr>
            <w:r w:rsidRPr="008C25D0">
              <w:rPr>
                <w:b/>
                <w:sz w:val="22"/>
              </w:rPr>
              <w:t>Action</w:t>
            </w:r>
          </w:p>
          <w:p w:rsidR="00365416" w:rsidRPr="008C25D0" w:rsidRDefault="00365416">
            <w:pPr>
              <w:jc w:val="center"/>
              <w:rPr>
                <w:b/>
                <w:sz w:val="22"/>
              </w:rPr>
            </w:pPr>
          </w:p>
        </w:tc>
      </w:tr>
      <w:tr w:rsidR="00365416" w:rsidRPr="008C25D0">
        <w:tc>
          <w:tcPr>
            <w:tcW w:w="3078" w:type="dxa"/>
            <w:tcBorders>
              <w:top w:val="threeDEngrave" w:sz="12" w:space="0" w:color="auto"/>
            </w:tcBorders>
          </w:tcPr>
          <w:p w:rsidR="00365416" w:rsidRPr="008C25D0" w:rsidRDefault="00963B1B">
            <w:pPr>
              <w:rPr>
                <w:sz w:val="22"/>
              </w:rPr>
            </w:pPr>
            <w:r>
              <w:rPr>
                <w:sz w:val="22"/>
              </w:rPr>
              <w:t>First</w:t>
            </w:r>
            <w:r w:rsidRPr="008C25D0">
              <w:rPr>
                <w:sz w:val="22"/>
              </w:rPr>
              <w:t xml:space="preserve"> </w:t>
            </w:r>
            <w:r>
              <w:rPr>
                <w:sz w:val="22"/>
              </w:rPr>
              <w:t>w</w:t>
            </w:r>
            <w:r w:rsidR="00365416" w:rsidRPr="008C25D0">
              <w:rPr>
                <w:sz w:val="22"/>
              </w:rPr>
              <w:t>eek of Spring Semester</w:t>
            </w:r>
          </w:p>
        </w:tc>
        <w:tc>
          <w:tcPr>
            <w:tcW w:w="5778" w:type="dxa"/>
            <w:tcBorders>
              <w:top w:val="threeDEngrave" w:sz="12" w:space="0" w:color="auto"/>
            </w:tcBorders>
          </w:tcPr>
          <w:p w:rsidR="00365416" w:rsidRPr="008C25D0" w:rsidRDefault="00365416">
            <w:pPr>
              <w:rPr>
                <w:sz w:val="22"/>
              </w:rPr>
            </w:pPr>
            <w:r w:rsidRPr="008C25D0">
              <w:rPr>
                <w:sz w:val="22"/>
              </w:rPr>
              <w:t>Faculty members provide activity reports to the Department Head</w:t>
            </w:r>
          </w:p>
        </w:tc>
      </w:tr>
      <w:tr w:rsidR="00365416" w:rsidRPr="008C25D0">
        <w:tc>
          <w:tcPr>
            <w:tcW w:w="3078" w:type="dxa"/>
          </w:tcPr>
          <w:p w:rsidR="00365416" w:rsidRPr="008C25D0" w:rsidRDefault="00F73285">
            <w:pPr>
              <w:rPr>
                <w:sz w:val="22"/>
              </w:rPr>
            </w:pPr>
            <w:r>
              <w:rPr>
                <w:sz w:val="22"/>
              </w:rPr>
              <w:t>No later than the third week of February</w:t>
            </w:r>
          </w:p>
        </w:tc>
        <w:tc>
          <w:tcPr>
            <w:tcW w:w="5778" w:type="dxa"/>
          </w:tcPr>
          <w:p w:rsidR="00365416" w:rsidRPr="008C25D0" w:rsidRDefault="00365416" w:rsidP="00304486">
            <w:pPr>
              <w:rPr>
                <w:sz w:val="22"/>
              </w:rPr>
            </w:pPr>
            <w:r w:rsidRPr="008C25D0">
              <w:rPr>
                <w:sz w:val="22"/>
              </w:rPr>
              <w:t xml:space="preserve">Department Head (1) reports the results of the review to the faculty </w:t>
            </w:r>
            <w:r w:rsidR="000C0270">
              <w:rPr>
                <w:sz w:val="22"/>
              </w:rPr>
              <w:t xml:space="preserve">member </w:t>
            </w:r>
            <w:r w:rsidRPr="008C25D0">
              <w:rPr>
                <w:sz w:val="22"/>
              </w:rPr>
              <w:t xml:space="preserve">and (2) consults and discusses individual faculty’s goals and plans for the </w:t>
            </w:r>
            <w:r w:rsidR="00304486">
              <w:rPr>
                <w:sz w:val="22"/>
              </w:rPr>
              <w:t>upcoming</w:t>
            </w:r>
            <w:r w:rsidR="00304486" w:rsidRPr="008C25D0">
              <w:rPr>
                <w:sz w:val="22"/>
              </w:rPr>
              <w:t xml:space="preserve"> </w:t>
            </w:r>
            <w:r w:rsidRPr="008C25D0">
              <w:rPr>
                <w:sz w:val="22"/>
              </w:rPr>
              <w:t>year</w:t>
            </w:r>
          </w:p>
        </w:tc>
      </w:tr>
    </w:tbl>
    <w:p w:rsidR="00365416" w:rsidRPr="008C25D0" w:rsidRDefault="00365416">
      <w:pPr>
        <w:rPr>
          <w:sz w:val="22"/>
        </w:rPr>
      </w:pPr>
    </w:p>
    <w:p w:rsidR="00365416" w:rsidRPr="008C25D0" w:rsidRDefault="00365416">
      <w:pPr>
        <w:rPr>
          <w:b/>
          <w:sz w:val="22"/>
        </w:rPr>
      </w:pPr>
    </w:p>
    <w:p w:rsidR="00365416" w:rsidRPr="008C25D0" w:rsidRDefault="00365416">
      <w:pPr>
        <w:pStyle w:val="Heading5"/>
        <w:tabs>
          <w:tab w:val="clear" w:pos="360"/>
        </w:tabs>
      </w:pPr>
      <w:r w:rsidRPr="008C25D0">
        <w:t xml:space="preserve">B. Promotion and Tenure Decisions  </w:t>
      </w:r>
    </w:p>
    <w:p w:rsidR="00365416" w:rsidRPr="008C25D0" w:rsidRDefault="0036541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5778"/>
      </w:tblGrid>
      <w:tr w:rsidR="00365416" w:rsidRPr="008C25D0">
        <w:trPr>
          <w:trHeight w:hRule="exact" w:val="400"/>
        </w:trPr>
        <w:tc>
          <w:tcPr>
            <w:tcW w:w="3078" w:type="dxa"/>
            <w:tcBorders>
              <w:top w:val="threeDEngrave" w:sz="12" w:space="0" w:color="auto"/>
              <w:left w:val="threeDEngrave" w:sz="12" w:space="0" w:color="auto"/>
              <w:bottom w:val="threeDEngrave" w:sz="12" w:space="0" w:color="auto"/>
            </w:tcBorders>
            <w:shd w:val="clear" w:color="auto" w:fill="FFFFFF"/>
          </w:tcPr>
          <w:p w:rsidR="00365416" w:rsidRPr="008C25D0" w:rsidRDefault="00365416">
            <w:pPr>
              <w:jc w:val="center"/>
              <w:rPr>
                <w:b/>
                <w:sz w:val="22"/>
              </w:rPr>
            </w:pPr>
            <w:r w:rsidRPr="008C25D0">
              <w:rPr>
                <w:b/>
                <w:sz w:val="22"/>
              </w:rPr>
              <w:t>Date for Completion</w:t>
            </w:r>
          </w:p>
          <w:p w:rsidR="00365416" w:rsidRPr="008C25D0" w:rsidRDefault="00365416">
            <w:pPr>
              <w:jc w:val="center"/>
              <w:rPr>
                <w:b/>
                <w:sz w:val="22"/>
              </w:rPr>
            </w:pPr>
          </w:p>
          <w:p w:rsidR="00365416" w:rsidRPr="008C25D0" w:rsidRDefault="00365416">
            <w:pPr>
              <w:jc w:val="center"/>
              <w:rPr>
                <w:b/>
                <w:sz w:val="22"/>
              </w:rPr>
            </w:pPr>
            <w:r w:rsidRPr="008C25D0">
              <w:rPr>
                <w:b/>
                <w:sz w:val="22"/>
              </w:rPr>
              <w:t>Date for Completion</w:t>
            </w:r>
          </w:p>
        </w:tc>
        <w:tc>
          <w:tcPr>
            <w:tcW w:w="5778" w:type="dxa"/>
            <w:tcBorders>
              <w:top w:val="threeDEngrave" w:sz="12" w:space="0" w:color="auto"/>
              <w:bottom w:val="threeDEngrave" w:sz="12" w:space="0" w:color="auto"/>
              <w:right w:val="threeDEngrave" w:sz="12" w:space="0" w:color="auto"/>
            </w:tcBorders>
            <w:shd w:val="clear" w:color="auto" w:fill="FFFFFF"/>
          </w:tcPr>
          <w:p w:rsidR="00365416" w:rsidRPr="008C25D0" w:rsidRDefault="00365416">
            <w:pPr>
              <w:jc w:val="center"/>
              <w:rPr>
                <w:b/>
                <w:sz w:val="22"/>
              </w:rPr>
            </w:pPr>
            <w:r w:rsidRPr="008C25D0">
              <w:rPr>
                <w:b/>
                <w:sz w:val="22"/>
              </w:rPr>
              <w:t>Action</w:t>
            </w:r>
          </w:p>
          <w:p w:rsidR="00365416" w:rsidRPr="008C25D0" w:rsidRDefault="00365416">
            <w:pPr>
              <w:jc w:val="center"/>
              <w:rPr>
                <w:b/>
                <w:sz w:val="22"/>
              </w:rPr>
            </w:pPr>
          </w:p>
          <w:p w:rsidR="00365416" w:rsidRPr="008C25D0" w:rsidRDefault="00365416">
            <w:pPr>
              <w:jc w:val="center"/>
              <w:rPr>
                <w:b/>
                <w:sz w:val="22"/>
              </w:rPr>
            </w:pPr>
            <w:r w:rsidRPr="008C25D0">
              <w:rPr>
                <w:b/>
                <w:sz w:val="22"/>
              </w:rPr>
              <w:t>Action</w:t>
            </w:r>
          </w:p>
          <w:p w:rsidR="00365416" w:rsidRPr="008C25D0" w:rsidRDefault="00365416">
            <w:pPr>
              <w:jc w:val="center"/>
              <w:rPr>
                <w:b/>
                <w:sz w:val="22"/>
              </w:rPr>
            </w:pPr>
          </w:p>
          <w:p w:rsidR="00365416" w:rsidRPr="008C25D0" w:rsidRDefault="00365416">
            <w:pPr>
              <w:jc w:val="center"/>
              <w:rPr>
                <w:b/>
                <w:sz w:val="22"/>
              </w:rPr>
            </w:pPr>
          </w:p>
          <w:p w:rsidR="00365416" w:rsidRPr="008C25D0" w:rsidRDefault="00365416">
            <w:pPr>
              <w:jc w:val="center"/>
              <w:rPr>
                <w:b/>
                <w:sz w:val="22"/>
              </w:rPr>
            </w:pPr>
          </w:p>
        </w:tc>
      </w:tr>
      <w:tr w:rsidR="00365416" w:rsidRPr="008C25D0">
        <w:tc>
          <w:tcPr>
            <w:tcW w:w="3078" w:type="dxa"/>
            <w:tcBorders>
              <w:top w:val="threeDEngrave" w:sz="12" w:space="0" w:color="auto"/>
            </w:tcBorders>
          </w:tcPr>
          <w:p w:rsidR="00365416" w:rsidRPr="008C25D0" w:rsidRDefault="00365416" w:rsidP="00FF3CCD">
            <w:pPr>
              <w:rPr>
                <w:sz w:val="22"/>
              </w:rPr>
            </w:pPr>
            <w:r w:rsidRPr="008C25D0">
              <w:rPr>
                <w:sz w:val="22"/>
              </w:rPr>
              <w:t>First week of Fall Semester*</w:t>
            </w:r>
          </w:p>
        </w:tc>
        <w:tc>
          <w:tcPr>
            <w:tcW w:w="5778" w:type="dxa"/>
            <w:tcBorders>
              <w:top w:val="threeDEngrave" w:sz="12" w:space="0" w:color="auto"/>
            </w:tcBorders>
          </w:tcPr>
          <w:p w:rsidR="00365416" w:rsidRPr="008C25D0" w:rsidRDefault="00365416" w:rsidP="0015055F">
            <w:pPr>
              <w:rPr>
                <w:sz w:val="22"/>
              </w:rPr>
            </w:pPr>
            <w:r w:rsidRPr="008C25D0">
              <w:rPr>
                <w:sz w:val="22"/>
              </w:rPr>
              <w:t xml:space="preserve">Department Head invites candidates who are in final year of the probationary period of their appointment to apply for tenure; </w:t>
            </w:r>
            <w:r w:rsidR="0015055F">
              <w:rPr>
                <w:sz w:val="22"/>
              </w:rPr>
              <w:t>Department Head informs candidates who are in the third year of their pro</w:t>
            </w:r>
            <w:bookmarkStart w:id="0" w:name="_GoBack"/>
            <w:bookmarkEnd w:id="0"/>
            <w:r w:rsidR="0015055F">
              <w:rPr>
                <w:sz w:val="22"/>
              </w:rPr>
              <w:t xml:space="preserve">bationary appointment of the date when they should submit mid-probationary review documentation; </w:t>
            </w:r>
            <w:r w:rsidR="00F60285">
              <w:rPr>
                <w:sz w:val="22"/>
              </w:rPr>
              <w:t>a</w:t>
            </w:r>
            <w:r w:rsidR="00F60285" w:rsidRPr="008C25D0">
              <w:rPr>
                <w:sz w:val="22"/>
              </w:rPr>
              <w:t xml:space="preserve"> </w:t>
            </w:r>
            <w:r w:rsidRPr="008C25D0">
              <w:rPr>
                <w:sz w:val="22"/>
              </w:rPr>
              <w:t xml:space="preserve">faculty member may also choose to apply for tenure; </w:t>
            </w:r>
            <w:r w:rsidR="00F60285">
              <w:rPr>
                <w:sz w:val="22"/>
              </w:rPr>
              <w:t>a</w:t>
            </w:r>
            <w:r w:rsidRPr="008C25D0">
              <w:rPr>
                <w:sz w:val="22"/>
              </w:rPr>
              <w:t xml:space="preserve">ssociate </w:t>
            </w:r>
            <w:r w:rsidR="00996486">
              <w:rPr>
                <w:sz w:val="22"/>
              </w:rPr>
              <w:t>p</w:t>
            </w:r>
            <w:r w:rsidR="00996486" w:rsidRPr="008C25D0">
              <w:rPr>
                <w:sz w:val="22"/>
              </w:rPr>
              <w:t xml:space="preserve">rofessor </w:t>
            </w:r>
            <w:r w:rsidRPr="008C25D0">
              <w:rPr>
                <w:sz w:val="22"/>
              </w:rPr>
              <w:t xml:space="preserve">informs Department Head of decision to apply for </w:t>
            </w:r>
            <w:r w:rsidR="00996486">
              <w:rPr>
                <w:sz w:val="22"/>
              </w:rPr>
              <w:t>f</w:t>
            </w:r>
            <w:r w:rsidR="00996486" w:rsidRPr="008C25D0">
              <w:rPr>
                <w:sz w:val="22"/>
              </w:rPr>
              <w:t xml:space="preserve">ull </w:t>
            </w:r>
            <w:r w:rsidR="00996486">
              <w:rPr>
                <w:sz w:val="22"/>
              </w:rPr>
              <w:t>p</w:t>
            </w:r>
            <w:r w:rsidR="00996486" w:rsidRPr="008C25D0">
              <w:rPr>
                <w:sz w:val="22"/>
              </w:rPr>
              <w:t xml:space="preserve">rofessorship </w:t>
            </w:r>
            <w:r w:rsidRPr="008C25D0">
              <w:rPr>
                <w:sz w:val="22"/>
              </w:rPr>
              <w:t>(or is invited by Department Head)</w:t>
            </w:r>
          </w:p>
        </w:tc>
      </w:tr>
      <w:tr w:rsidR="00365416" w:rsidRPr="008C25D0">
        <w:tc>
          <w:tcPr>
            <w:tcW w:w="3078" w:type="dxa"/>
          </w:tcPr>
          <w:p w:rsidR="00365416" w:rsidRPr="008C25D0" w:rsidRDefault="00365416">
            <w:pPr>
              <w:rPr>
                <w:sz w:val="22"/>
              </w:rPr>
            </w:pPr>
            <w:r w:rsidRPr="008C25D0">
              <w:rPr>
                <w:sz w:val="22"/>
              </w:rPr>
              <w:t>Early October</w:t>
            </w:r>
          </w:p>
        </w:tc>
        <w:tc>
          <w:tcPr>
            <w:tcW w:w="5778" w:type="dxa"/>
          </w:tcPr>
          <w:p w:rsidR="00365416" w:rsidRPr="008C25D0" w:rsidRDefault="00365416">
            <w:pPr>
              <w:rPr>
                <w:sz w:val="22"/>
              </w:rPr>
            </w:pPr>
            <w:r w:rsidRPr="008C25D0">
              <w:rPr>
                <w:sz w:val="22"/>
              </w:rPr>
              <w:t>Candidate prepares material in support of promotion/tenure or mid-probationary review</w:t>
            </w:r>
          </w:p>
        </w:tc>
      </w:tr>
      <w:tr w:rsidR="00365416" w:rsidRPr="008C25D0">
        <w:tc>
          <w:tcPr>
            <w:tcW w:w="3078" w:type="dxa"/>
          </w:tcPr>
          <w:p w:rsidR="00365416" w:rsidRPr="008C25D0" w:rsidRDefault="00365416">
            <w:pPr>
              <w:rPr>
                <w:sz w:val="22"/>
              </w:rPr>
            </w:pPr>
            <w:r w:rsidRPr="008C25D0">
              <w:rPr>
                <w:sz w:val="22"/>
              </w:rPr>
              <w:t>Third week in October</w:t>
            </w:r>
          </w:p>
        </w:tc>
        <w:tc>
          <w:tcPr>
            <w:tcW w:w="5778" w:type="dxa"/>
          </w:tcPr>
          <w:p w:rsidR="00365416" w:rsidRPr="008C25D0" w:rsidRDefault="00365416">
            <w:pPr>
              <w:rPr>
                <w:sz w:val="22"/>
              </w:rPr>
            </w:pPr>
            <w:r w:rsidRPr="008C25D0">
              <w:rPr>
                <w:sz w:val="22"/>
              </w:rPr>
              <w:t>Candidate materials made available to eligible tenured faculty</w:t>
            </w:r>
          </w:p>
        </w:tc>
      </w:tr>
      <w:tr w:rsidR="00365416" w:rsidRPr="008C25D0">
        <w:tc>
          <w:tcPr>
            <w:tcW w:w="3078" w:type="dxa"/>
          </w:tcPr>
          <w:p w:rsidR="00365416" w:rsidRPr="008C25D0" w:rsidRDefault="00365416">
            <w:pPr>
              <w:rPr>
                <w:sz w:val="22"/>
              </w:rPr>
            </w:pPr>
            <w:r w:rsidRPr="008C25D0">
              <w:rPr>
                <w:sz w:val="22"/>
              </w:rPr>
              <w:t>Last Monday in October</w:t>
            </w:r>
          </w:p>
        </w:tc>
        <w:tc>
          <w:tcPr>
            <w:tcW w:w="5778" w:type="dxa"/>
          </w:tcPr>
          <w:p w:rsidR="00365416" w:rsidRPr="008C25D0" w:rsidRDefault="00365416">
            <w:pPr>
              <w:rPr>
                <w:sz w:val="22"/>
              </w:rPr>
            </w:pPr>
            <w:r w:rsidRPr="008C25D0">
              <w:rPr>
                <w:sz w:val="22"/>
              </w:rPr>
              <w:t>Eligible tenured faculty members meet to discuss candidate. Faculty votes on tenure candidate's application</w:t>
            </w:r>
          </w:p>
        </w:tc>
      </w:tr>
      <w:tr w:rsidR="00365416" w:rsidRPr="008C25D0">
        <w:tc>
          <w:tcPr>
            <w:tcW w:w="3078" w:type="dxa"/>
          </w:tcPr>
          <w:p w:rsidR="00365416" w:rsidRPr="008C25D0" w:rsidRDefault="00365416">
            <w:pPr>
              <w:rPr>
                <w:sz w:val="22"/>
              </w:rPr>
            </w:pPr>
            <w:r w:rsidRPr="008C25D0">
              <w:rPr>
                <w:sz w:val="22"/>
              </w:rPr>
              <w:t>Second Monday in November</w:t>
            </w:r>
          </w:p>
        </w:tc>
        <w:tc>
          <w:tcPr>
            <w:tcW w:w="5778" w:type="dxa"/>
          </w:tcPr>
          <w:p w:rsidR="00365416" w:rsidRPr="008C25D0" w:rsidRDefault="00365416">
            <w:pPr>
              <w:rPr>
                <w:sz w:val="22"/>
              </w:rPr>
            </w:pPr>
            <w:r w:rsidRPr="008C25D0">
              <w:rPr>
                <w:sz w:val="22"/>
              </w:rPr>
              <w:t>Department Head sends materials and summary sheet for candidate to Dean and reports to tenure candidate and faculty; mid-probationary reviews are presented to candidates</w:t>
            </w:r>
          </w:p>
        </w:tc>
      </w:tr>
      <w:tr w:rsidR="00365416" w:rsidRPr="008C25D0">
        <w:tc>
          <w:tcPr>
            <w:tcW w:w="3078" w:type="dxa"/>
          </w:tcPr>
          <w:p w:rsidR="00365416" w:rsidRPr="008C25D0" w:rsidRDefault="00365416">
            <w:pPr>
              <w:rPr>
                <w:sz w:val="22"/>
              </w:rPr>
            </w:pPr>
            <w:r w:rsidRPr="008C25D0">
              <w:rPr>
                <w:sz w:val="22"/>
              </w:rPr>
              <w:t>Second week in December</w:t>
            </w:r>
          </w:p>
        </w:tc>
        <w:tc>
          <w:tcPr>
            <w:tcW w:w="5778" w:type="dxa"/>
          </w:tcPr>
          <w:p w:rsidR="00365416" w:rsidRPr="008C25D0" w:rsidRDefault="00365416">
            <w:pPr>
              <w:rPr>
                <w:sz w:val="22"/>
              </w:rPr>
            </w:pPr>
            <w:r w:rsidRPr="008C25D0">
              <w:rPr>
                <w:sz w:val="22"/>
              </w:rPr>
              <w:t>Dean sends material and summary sheet for each tenure candidate to the Dean’s Council for review</w:t>
            </w:r>
          </w:p>
        </w:tc>
      </w:tr>
      <w:tr w:rsidR="00365416" w:rsidRPr="008C25D0">
        <w:tc>
          <w:tcPr>
            <w:tcW w:w="3078" w:type="dxa"/>
          </w:tcPr>
          <w:p w:rsidR="00365416" w:rsidRPr="008C25D0" w:rsidRDefault="00365416">
            <w:pPr>
              <w:rPr>
                <w:sz w:val="22"/>
              </w:rPr>
            </w:pPr>
            <w:r w:rsidRPr="008C25D0">
              <w:rPr>
                <w:sz w:val="22"/>
              </w:rPr>
              <w:t>January</w:t>
            </w:r>
          </w:p>
        </w:tc>
        <w:tc>
          <w:tcPr>
            <w:tcW w:w="5778" w:type="dxa"/>
          </w:tcPr>
          <w:p w:rsidR="00365416" w:rsidRPr="008C25D0" w:rsidRDefault="00365416">
            <w:pPr>
              <w:rPr>
                <w:sz w:val="22"/>
              </w:rPr>
            </w:pPr>
            <w:r w:rsidRPr="008C25D0">
              <w:rPr>
                <w:sz w:val="22"/>
              </w:rPr>
              <w:t>Review of tenure candidate by Council of Academic Deans</w:t>
            </w:r>
          </w:p>
        </w:tc>
      </w:tr>
      <w:tr w:rsidR="00365416" w:rsidRPr="008C25D0">
        <w:tc>
          <w:tcPr>
            <w:tcW w:w="3078" w:type="dxa"/>
          </w:tcPr>
          <w:p w:rsidR="00365416" w:rsidRPr="008C25D0" w:rsidRDefault="00365416" w:rsidP="00FF3CCD">
            <w:pPr>
              <w:rPr>
                <w:sz w:val="22"/>
              </w:rPr>
            </w:pPr>
            <w:r w:rsidRPr="008C25D0">
              <w:rPr>
                <w:sz w:val="22"/>
              </w:rPr>
              <w:t>Second week of Spring Semester</w:t>
            </w:r>
          </w:p>
        </w:tc>
        <w:tc>
          <w:tcPr>
            <w:tcW w:w="5778" w:type="dxa"/>
          </w:tcPr>
          <w:p w:rsidR="00365416" w:rsidRPr="008C25D0" w:rsidRDefault="00365416">
            <w:pPr>
              <w:rPr>
                <w:sz w:val="22"/>
              </w:rPr>
            </w:pPr>
            <w:r w:rsidRPr="008C25D0">
              <w:rPr>
                <w:sz w:val="22"/>
              </w:rPr>
              <w:t>Annual evaluation and goals to be submitted to Department Head</w:t>
            </w:r>
          </w:p>
        </w:tc>
      </w:tr>
      <w:tr w:rsidR="00365416" w:rsidRPr="008C25D0">
        <w:tc>
          <w:tcPr>
            <w:tcW w:w="3078" w:type="dxa"/>
          </w:tcPr>
          <w:p w:rsidR="00365416" w:rsidRPr="008C25D0" w:rsidRDefault="00365416">
            <w:pPr>
              <w:rPr>
                <w:sz w:val="22"/>
              </w:rPr>
            </w:pPr>
            <w:r w:rsidRPr="008C25D0">
              <w:rPr>
                <w:sz w:val="22"/>
              </w:rPr>
              <w:t>Third week in February</w:t>
            </w:r>
          </w:p>
        </w:tc>
        <w:tc>
          <w:tcPr>
            <w:tcW w:w="5778" w:type="dxa"/>
          </w:tcPr>
          <w:p w:rsidR="00365416" w:rsidRPr="008C25D0" w:rsidRDefault="00365416">
            <w:pPr>
              <w:rPr>
                <w:sz w:val="22"/>
              </w:rPr>
            </w:pPr>
            <w:r w:rsidRPr="008C25D0">
              <w:rPr>
                <w:sz w:val="22"/>
              </w:rPr>
              <w:t>Dean forwards tenure recommendations to the Provost</w:t>
            </w:r>
          </w:p>
        </w:tc>
      </w:tr>
      <w:tr w:rsidR="00365416" w:rsidRPr="008C25D0">
        <w:tc>
          <w:tcPr>
            <w:tcW w:w="3078" w:type="dxa"/>
          </w:tcPr>
          <w:p w:rsidR="00365416" w:rsidRPr="008C25D0" w:rsidRDefault="00766666">
            <w:pPr>
              <w:rPr>
                <w:sz w:val="22"/>
              </w:rPr>
            </w:pPr>
            <w:r>
              <w:rPr>
                <w:sz w:val="22"/>
              </w:rPr>
              <w:t xml:space="preserve">March </w:t>
            </w:r>
          </w:p>
        </w:tc>
        <w:tc>
          <w:tcPr>
            <w:tcW w:w="5778" w:type="dxa"/>
          </w:tcPr>
          <w:p w:rsidR="00365416" w:rsidRPr="008C25D0" w:rsidRDefault="00365416">
            <w:pPr>
              <w:rPr>
                <w:sz w:val="22"/>
              </w:rPr>
            </w:pPr>
            <w:r w:rsidRPr="008C25D0">
              <w:rPr>
                <w:sz w:val="22"/>
              </w:rPr>
              <w:t>Dean mails formal letter which informs tenure candidate of the decision</w:t>
            </w:r>
          </w:p>
        </w:tc>
      </w:tr>
      <w:tr w:rsidR="00365416" w:rsidRPr="008C25D0">
        <w:tc>
          <w:tcPr>
            <w:tcW w:w="3078" w:type="dxa"/>
          </w:tcPr>
          <w:p w:rsidR="00365416" w:rsidRPr="008C25D0" w:rsidRDefault="00365416">
            <w:pPr>
              <w:rPr>
                <w:sz w:val="22"/>
              </w:rPr>
            </w:pPr>
            <w:r w:rsidRPr="008C25D0">
              <w:rPr>
                <w:sz w:val="22"/>
              </w:rPr>
              <w:t xml:space="preserve">March </w:t>
            </w:r>
          </w:p>
        </w:tc>
        <w:tc>
          <w:tcPr>
            <w:tcW w:w="5778" w:type="dxa"/>
          </w:tcPr>
          <w:p w:rsidR="00365416" w:rsidRPr="008C25D0" w:rsidRDefault="00365416">
            <w:pPr>
              <w:rPr>
                <w:sz w:val="22"/>
              </w:rPr>
            </w:pPr>
            <w:r w:rsidRPr="008C25D0">
              <w:rPr>
                <w:sz w:val="22"/>
              </w:rPr>
              <w:t>Preparation of Regents’ minutes</w:t>
            </w:r>
          </w:p>
        </w:tc>
      </w:tr>
      <w:tr w:rsidR="00365416" w:rsidRPr="008C25D0">
        <w:tc>
          <w:tcPr>
            <w:tcW w:w="3078" w:type="dxa"/>
          </w:tcPr>
          <w:p w:rsidR="00365416" w:rsidRPr="008C25D0" w:rsidRDefault="00365416">
            <w:pPr>
              <w:rPr>
                <w:sz w:val="22"/>
              </w:rPr>
            </w:pPr>
            <w:r w:rsidRPr="008C25D0">
              <w:rPr>
                <w:sz w:val="22"/>
              </w:rPr>
              <w:t>March 31</w:t>
            </w:r>
          </w:p>
        </w:tc>
        <w:tc>
          <w:tcPr>
            <w:tcW w:w="5778" w:type="dxa"/>
          </w:tcPr>
          <w:p w:rsidR="00365416" w:rsidRPr="008C25D0" w:rsidRDefault="00365416">
            <w:pPr>
              <w:rPr>
                <w:sz w:val="22"/>
              </w:rPr>
            </w:pPr>
            <w:r w:rsidRPr="008C25D0">
              <w:rPr>
                <w:sz w:val="22"/>
              </w:rPr>
              <w:t>Submission to the Regents</w:t>
            </w:r>
          </w:p>
        </w:tc>
      </w:tr>
    </w:tbl>
    <w:p w:rsidR="00365416" w:rsidRPr="008C25D0" w:rsidRDefault="00365416">
      <w:pPr>
        <w:rPr>
          <w:sz w:val="22"/>
        </w:rPr>
      </w:pPr>
    </w:p>
    <w:p w:rsidR="00365416" w:rsidRPr="008C25D0" w:rsidRDefault="00365416">
      <w:pPr>
        <w:ind w:left="270" w:hanging="270"/>
        <w:rPr>
          <w:u w:val="single"/>
        </w:rPr>
      </w:pPr>
      <w:r w:rsidRPr="008C25D0">
        <w:t xml:space="preserve">* </w:t>
      </w:r>
      <w:r w:rsidRPr="008C25D0">
        <w:tab/>
        <w:t>Candidates requesting external reviewers should supply t</w:t>
      </w:r>
      <w:r w:rsidR="005C1F28" w:rsidRPr="008C25D0">
        <w:t>he required nominations to the D</w:t>
      </w:r>
      <w:r w:rsidRPr="008C25D0">
        <w:t xml:space="preserve">epartment </w:t>
      </w:r>
      <w:r w:rsidR="00304486">
        <w:t>H</w:t>
      </w:r>
      <w:r w:rsidRPr="008C25D0">
        <w:t>ead by mid-August. The package for external review should be ready by early to mid-September.</w:t>
      </w:r>
    </w:p>
    <w:p w:rsidR="004F241B" w:rsidRPr="00C0527A" w:rsidRDefault="0064554F" w:rsidP="0064554F">
      <w:r w:rsidRPr="00C0527A">
        <w:t xml:space="preserve"> </w:t>
      </w:r>
    </w:p>
    <w:p w:rsidR="0045627B" w:rsidRPr="00C51B5C" w:rsidRDefault="0045627B" w:rsidP="0045627B"/>
    <w:sectPr w:rsidR="0045627B" w:rsidRPr="00C51B5C" w:rsidSect="00BD5BE5">
      <w:pgSz w:w="12240" w:h="15840"/>
      <w:pgMar w:top="1440" w:right="144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175" w:rsidRDefault="008B6175">
      <w:r>
        <w:separator/>
      </w:r>
    </w:p>
  </w:endnote>
  <w:endnote w:type="continuationSeparator" w:id="0">
    <w:p w:rsidR="008B6175" w:rsidRDefault="008B6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5E" w:rsidRDefault="0034332A">
    <w:pPr>
      <w:pStyle w:val="Footer"/>
      <w:framePr w:wrap="around" w:vAnchor="text" w:hAnchor="margin" w:xAlign="center" w:y="1"/>
      <w:rPr>
        <w:rStyle w:val="PageNumber"/>
      </w:rPr>
    </w:pPr>
    <w:r>
      <w:rPr>
        <w:rStyle w:val="PageNumber"/>
      </w:rPr>
      <w:fldChar w:fldCharType="begin"/>
    </w:r>
    <w:r w:rsidR="009F775E">
      <w:rPr>
        <w:rStyle w:val="PageNumber"/>
      </w:rPr>
      <w:instrText xml:space="preserve">PAGE  </w:instrText>
    </w:r>
    <w:r>
      <w:rPr>
        <w:rStyle w:val="PageNumber"/>
      </w:rPr>
      <w:fldChar w:fldCharType="separate"/>
    </w:r>
    <w:r w:rsidR="009F775E">
      <w:rPr>
        <w:rStyle w:val="PageNumber"/>
        <w:noProof/>
      </w:rPr>
      <w:t>1</w:t>
    </w:r>
    <w:r>
      <w:rPr>
        <w:rStyle w:val="PageNumber"/>
      </w:rPr>
      <w:fldChar w:fldCharType="end"/>
    </w:r>
  </w:p>
  <w:p w:rsidR="009F775E" w:rsidRDefault="009F7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5E" w:rsidRDefault="0034332A">
    <w:pPr>
      <w:pStyle w:val="Footer"/>
      <w:framePr w:wrap="around" w:vAnchor="text" w:hAnchor="margin" w:xAlign="center" w:y="1"/>
      <w:rPr>
        <w:rStyle w:val="PageNumber"/>
      </w:rPr>
    </w:pPr>
    <w:r>
      <w:rPr>
        <w:rStyle w:val="PageNumber"/>
      </w:rPr>
      <w:fldChar w:fldCharType="begin"/>
    </w:r>
    <w:r w:rsidR="009F775E">
      <w:rPr>
        <w:rStyle w:val="PageNumber"/>
      </w:rPr>
      <w:instrText xml:space="preserve">PAGE  </w:instrText>
    </w:r>
    <w:r>
      <w:rPr>
        <w:rStyle w:val="PageNumber"/>
      </w:rPr>
      <w:fldChar w:fldCharType="separate"/>
    </w:r>
    <w:r w:rsidR="00D42DBC">
      <w:rPr>
        <w:rStyle w:val="PageNumber"/>
        <w:noProof/>
      </w:rPr>
      <w:t>2</w:t>
    </w:r>
    <w:r>
      <w:rPr>
        <w:rStyle w:val="PageNumber"/>
      </w:rPr>
      <w:fldChar w:fldCharType="end"/>
    </w:r>
  </w:p>
  <w:p w:rsidR="009F775E" w:rsidRDefault="009F7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175" w:rsidRDefault="008B6175">
      <w:r>
        <w:separator/>
      </w:r>
    </w:p>
  </w:footnote>
  <w:footnote w:type="continuationSeparator" w:id="0">
    <w:p w:rsidR="008B6175" w:rsidRDefault="008B6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44E"/>
    <w:multiLevelType w:val="hybridMultilevel"/>
    <w:tmpl w:val="9962E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5832AA"/>
    <w:multiLevelType w:val="hybridMultilevel"/>
    <w:tmpl w:val="D3ACEFD4"/>
    <w:lvl w:ilvl="0" w:tplc="15745510">
      <w:start w:val="1"/>
      <w:numFmt w:val="upperRoman"/>
      <w:lvlText w:val="%1."/>
      <w:lvlJc w:val="left"/>
      <w:pPr>
        <w:tabs>
          <w:tab w:val="num" w:pos="1080"/>
        </w:tabs>
        <w:ind w:left="1080" w:hanging="720"/>
      </w:pPr>
      <w:rPr>
        <w:rFonts w:hint="default"/>
      </w:rPr>
    </w:lvl>
    <w:lvl w:ilvl="1" w:tplc="BD8E7E18" w:tentative="1">
      <w:start w:val="1"/>
      <w:numFmt w:val="lowerLetter"/>
      <w:lvlText w:val="%2."/>
      <w:lvlJc w:val="left"/>
      <w:pPr>
        <w:tabs>
          <w:tab w:val="num" w:pos="1440"/>
        </w:tabs>
        <w:ind w:left="1440" w:hanging="360"/>
      </w:pPr>
    </w:lvl>
    <w:lvl w:ilvl="2" w:tplc="C5A260BC" w:tentative="1">
      <w:start w:val="1"/>
      <w:numFmt w:val="lowerRoman"/>
      <w:lvlText w:val="%3."/>
      <w:lvlJc w:val="right"/>
      <w:pPr>
        <w:tabs>
          <w:tab w:val="num" w:pos="2160"/>
        </w:tabs>
        <w:ind w:left="2160" w:hanging="180"/>
      </w:pPr>
    </w:lvl>
    <w:lvl w:ilvl="3" w:tplc="AA7CF6A0" w:tentative="1">
      <w:start w:val="1"/>
      <w:numFmt w:val="decimal"/>
      <w:lvlText w:val="%4."/>
      <w:lvlJc w:val="left"/>
      <w:pPr>
        <w:tabs>
          <w:tab w:val="num" w:pos="2880"/>
        </w:tabs>
        <w:ind w:left="2880" w:hanging="360"/>
      </w:pPr>
    </w:lvl>
    <w:lvl w:ilvl="4" w:tplc="E8B4E404" w:tentative="1">
      <w:start w:val="1"/>
      <w:numFmt w:val="lowerLetter"/>
      <w:lvlText w:val="%5."/>
      <w:lvlJc w:val="left"/>
      <w:pPr>
        <w:tabs>
          <w:tab w:val="num" w:pos="3600"/>
        </w:tabs>
        <w:ind w:left="3600" w:hanging="360"/>
      </w:pPr>
    </w:lvl>
    <w:lvl w:ilvl="5" w:tplc="1A1CE568" w:tentative="1">
      <w:start w:val="1"/>
      <w:numFmt w:val="lowerRoman"/>
      <w:lvlText w:val="%6."/>
      <w:lvlJc w:val="right"/>
      <w:pPr>
        <w:tabs>
          <w:tab w:val="num" w:pos="4320"/>
        </w:tabs>
        <w:ind w:left="4320" w:hanging="180"/>
      </w:pPr>
    </w:lvl>
    <w:lvl w:ilvl="6" w:tplc="8D64AA3C" w:tentative="1">
      <w:start w:val="1"/>
      <w:numFmt w:val="decimal"/>
      <w:lvlText w:val="%7."/>
      <w:lvlJc w:val="left"/>
      <w:pPr>
        <w:tabs>
          <w:tab w:val="num" w:pos="5040"/>
        </w:tabs>
        <w:ind w:left="5040" w:hanging="360"/>
      </w:pPr>
    </w:lvl>
    <w:lvl w:ilvl="7" w:tplc="498865C6" w:tentative="1">
      <w:start w:val="1"/>
      <w:numFmt w:val="lowerLetter"/>
      <w:lvlText w:val="%8."/>
      <w:lvlJc w:val="left"/>
      <w:pPr>
        <w:tabs>
          <w:tab w:val="num" w:pos="5760"/>
        </w:tabs>
        <w:ind w:left="5760" w:hanging="360"/>
      </w:pPr>
    </w:lvl>
    <w:lvl w:ilvl="8" w:tplc="F782C9CC" w:tentative="1">
      <w:start w:val="1"/>
      <w:numFmt w:val="lowerRoman"/>
      <w:lvlText w:val="%9."/>
      <w:lvlJc w:val="right"/>
      <w:pPr>
        <w:tabs>
          <w:tab w:val="num" w:pos="6480"/>
        </w:tabs>
        <w:ind w:left="6480" w:hanging="180"/>
      </w:pPr>
    </w:lvl>
  </w:abstractNum>
  <w:abstractNum w:abstractNumId="2">
    <w:nsid w:val="0EB900DD"/>
    <w:multiLevelType w:val="hybridMultilevel"/>
    <w:tmpl w:val="0D84F0CA"/>
    <w:lvl w:ilvl="0" w:tplc="A3CC5C02">
      <w:start w:val="1"/>
      <w:numFmt w:val="decimal"/>
      <w:lvlText w:val="(%1)"/>
      <w:lvlJc w:val="left"/>
      <w:pPr>
        <w:tabs>
          <w:tab w:val="num" w:pos="720"/>
        </w:tabs>
        <w:ind w:left="720" w:hanging="360"/>
      </w:pPr>
      <w:rPr>
        <w:rFonts w:hint="default"/>
      </w:rPr>
    </w:lvl>
    <w:lvl w:ilvl="1" w:tplc="1DE8D46C" w:tentative="1">
      <w:start w:val="1"/>
      <w:numFmt w:val="lowerLetter"/>
      <w:lvlText w:val="%2."/>
      <w:lvlJc w:val="left"/>
      <w:pPr>
        <w:tabs>
          <w:tab w:val="num" w:pos="1440"/>
        </w:tabs>
        <w:ind w:left="1440" w:hanging="360"/>
      </w:pPr>
    </w:lvl>
    <w:lvl w:ilvl="2" w:tplc="B19AD93A" w:tentative="1">
      <w:start w:val="1"/>
      <w:numFmt w:val="lowerRoman"/>
      <w:lvlText w:val="%3."/>
      <w:lvlJc w:val="right"/>
      <w:pPr>
        <w:tabs>
          <w:tab w:val="num" w:pos="2160"/>
        </w:tabs>
        <w:ind w:left="2160" w:hanging="180"/>
      </w:pPr>
    </w:lvl>
    <w:lvl w:ilvl="3" w:tplc="28E8B320" w:tentative="1">
      <w:start w:val="1"/>
      <w:numFmt w:val="decimal"/>
      <w:lvlText w:val="%4."/>
      <w:lvlJc w:val="left"/>
      <w:pPr>
        <w:tabs>
          <w:tab w:val="num" w:pos="2880"/>
        </w:tabs>
        <w:ind w:left="2880" w:hanging="360"/>
      </w:pPr>
    </w:lvl>
    <w:lvl w:ilvl="4" w:tplc="8486A5D2" w:tentative="1">
      <w:start w:val="1"/>
      <w:numFmt w:val="lowerLetter"/>
      <w:lvlText w:val="%5."/>
      <w:lvlJc w:val="left"/>
      <w:pPr>
        <w:tabs>
          <w:tab w:val="num" w:pos="3600"/>
        </w:tabs>
        <w:ind w:left="3600" w:hanging="360"/>
      </w:pPr>
    </w:lvl>
    <w:lvl w:ilvl="5" w:tplc="DC9C0F6C" w:tentative="1">
      <w:start w:val="1"/>
      <w:numFmt w:val="lowerRoman"/>
      <w:lvlText w:val="%6."/>
      <w:lvlJc w:val="right"/>
      <w:pPr>
        <w:tabs>
          <w:tab w:val="num" w:pos="4320"/>
        </w:tabs>
        <w:ind w:left="4320" w:hanging="180"/>
      </w:pPr>
    </w:lvl>
    <w:lvl w:ilvl="6" w:tplc="1F44CA50" w:tentative="1">
      <w:start w:val="1"/>
      <w:numFmt w:val="decimal"/>
      <w:lvlText w:val="%7."/>
      <w:lvlJc w:val="left"/>
      <w:pPr>
        <w:tabs>
          <w:tab w:val="num" w:pos="5040"/>
        </w:tabs>
        <w:ind w:left="5040" w:hanging="360"/>
      </w:pPr>
    </w:lvl>
    <w:lvl w:ilvl="7" w:tplc="0D9C828C" w:tentative="1">
      <w:start w:val="1"/>
      <w:numFmt w:val="lowerLetter"/>
      <w:lvlText w:val="%8."/>
      <w:lvlJc w:val="left"/>
      <w:pPr>
        <w:tabs>
          <w:tab w:val="num" w:pos="5760"/>
        </w:tabs>
        <w:ind w:left="5760" w:hanging="360"/>
      </w:pPr>
    </w:lvl>
    <w:lvl w:ilvl="8" w:tplc="9538F852" w:tentative="1">
      <w:start w:val="1"/>
      <w:numFmt w:val="lowerRoman"/>
      <w:lvlText w:val="%9."/>
      <w:lvlJc w:val="right"/>
      <w:pPr>
        <w:tabs>
          <w:tab w:val="num" w:pos="6480"/>
        </w:tabs>
        <w:ind w:left="6480" w:hanging="180"/>
      </w:pPr>
    </w:lvl>
  </w:abstractNum>
  <w:abstractNum w:abstractNumId="3">
    <w:nsid w:val="143E35CE"/>
    <w:multiLevelType w:val="hybridMultilevel"/>
    <w:tmpl w:val="7490212A"/>
    <w:lvl w:ilvl="0" w:tplc="EA962F84">
      <w:start w:val="1"/>
      <w:numFmt w:val="lowerLetter"/>
      <w:lvlText w:val="(%1)"/>
      <w:lvlJc w:val="left"/>
      <w:pPr>
        <w:tabs>
          <w:tab w:val="num" w:pos="720"/>
        </w:tabs>
        <w:ind w:left="720" w:hanging="360"/>
      </w:pPr>
      <w:rPr>
        <w:rFonts w:hint="default"/>
      </w:rPr>
    </w:lvl>
    <w:lvl w:ilvl="1" w:tplc="418A9CA4" w:tentative="1">
      <w:start w:val="1"/>
      <w:numFmt w:val="lowerLetter"/>
      <w:lvlText w:val="%2."/>
      <w:lvlJc w:val="left"/>
      <w:pPr>
        <w:tabs>
          <w:tab w:val="num" w:pos="1440"/>
        </w:tabs>
        <w:ind w:left="1440" w:hanging="360"/>
      </w:pPr>
    </w:lvl>
    <w:lvl w:ilvl="2" w:tplc="E6665302" w:tentative="1">
      <w:start w:val="1"/>
      <w:numFmt w:val="lowerRoman"/>
      <w:lvlText w:val="%3."/>
      <w:lvlJc w:val="right"/>
      <w:pPr>
        <w:tabs>
          <w:tab w:val="num" w:pos="2160"/>
        </w:tabs>
        <w:ind w:left="2160" w:hanging="180"/>
      </w:pPr>
    </w:lvl>
    <w:lvl w:ilvl="3" w:tplc="00984346" w:tentative="1">
      <w:start w:val="1"/>
      <w:numFmt w:val="decimal"/>
      <w:lvlText w:val="%4."/>
      <w:lvlJc w:val="left"/>
      <w:pPr>
        <w:tabs>
          <w:tab w:val="num" w:pos="2880"/>
        </w:tabs>
        <w:ind w:left="2880" w:hanging="360"/>
      </w:pPr>
    </w:lvl>
    <w:lvl w:ilvl="4" w:tplc="3B42DBE6" w:tentative="1">
      <w:start w:val="1"/>
      <w:numFmt w:val="lowerLetter"/>
      <w:lvlText w:val="%5."/>
      <w:lvlJc w:val="left"/>
      <w:pPr>
        <w:tabs>
          <w:tab w:val="num" w:pos="3600"/>
        </w:tabs>
        <w:ind w:left="3600" w:hanging="360"/>
      </w:pPr>
    </w:lvl>
    <w:lvl w:ilvl="5" w:tplc="8B24891A" w:tentative="1">
      <w:start w:val="1"/>
      <w:numFmt w:val="lowerRoman"/>
      <w:lvlText w:val="%6."/>
      <w:lvlJc w:val="right"/>
      <w:pPr>
        <w:tabs>
          <w:tab w:val="num" w:pos="4320"/>
        </w:tabs>
        <w:ind w:left="4320" w:hanging="180"/>
      </w:pPr>
    </w:lvl>
    <w:lvl w:ilvl="6" w:tplc="1B88BB3A" w:tentative="1">
      <w:start w:val="1"/>
      <w:numFmt w:val="decimal"/>
      <w:lvlText w:val="%7."/>
      <w:lvlJc w:val="left"/>
      <w:pPr>
        <w:tabs>
          <w:tab w:val="num" w:pos="5040"/>
        </w:tabs>
        <w:ind w:left="5040" w:hanging="360"/>
      </w:pPr>
    </w:lvl>
    <w:lvl w:ilvl="7" w:tplc="4E6A9242" w:tentative="1">
      <w:start w:val="1"/>
      <w:numFmt w:val="lowerLetter"/>
      <w:lvlText w:val="%8."/>
      <w:lvlJc w:val="left"/>
      <w:pPr>
        <w:tabs>
          <w:tab w:val="num" w:pos="5760"/>
        </w:tabs>
        <w:ind w:left="5760" w:hanging="360"/>
      </w:pPr>
    </w:lvl>
    <w:lvl w:ilvl="8" w:tplc="688094B4" w:tentative="1">
      <w:start w:val="1"/>
      <w:numFmt w:val="lowerRoman"/>
      <w:lvlText w:val="%9."/>
      <w:lvlJc w:val="right"/>
      <w:pPr>
        <w:tabs>
          <w:tab w:val="num" w:pos="6480"/>
        </w:tabs>
        <w:ind w:left="6480" w:hanging="180"/>
      </w:pPr>
    </w:lvl>
  </w:abstractNum>
  <w:abstractNum w:abstractNumId="4">
    <w:nsid w:val="1C6340E6"/>
    <w:multiLevelType w:val="hybridMultilevel"/>
    <w:tmpl w:val="A848718E"/>
    <w:lvl w:ilvl="0" w:tplc="7FBE1EEE">
      <w:start w:val="1"/>
      <w:numFmt w:val="decimal"/>
      <w:lvlText w:val="(%1)"/>
      <w:lvlJc w:val="left"/>
      <w:pPr>
        <w:tabs>
          <w:tab w:val="num" w:pos="720"/>
        </w:tabs>
        <w:ind w:left="720" w:hanging="360"/>
      </w:pPr>
      <w:rPr>
        <w:rFonts w:hint="default"/>
      </w:rPr>
    </w:lvl>
    <w:lvl w:ilvl="1" w:tplc="DDCA175E" w:tentative="1">
      <w:start w:val="1"/>
      <w:numFmt w:val="lowerLetter"/>
      <w:lvlText w:val="%2."/>
      <w:lvlJc w:val="left"/>
      <w:pPr>
        <w:tabs>
          <w:tab w:val="num" w:pos="1440"/>
        </w:tabs>
        <w:ind w:left="1440" w:hanging="360"/>
      </w:pPr>
    </w:lvl>
    <w:lvl w:ilvl="2" w:tplc="B99AD4A6" w:tentative="1">
      <w:start w:val="1"/>
      <w:numFmt w:val="lowerRoman"/>
      <w:lvlText w:val="%3."/>
      <w:lvlJc w:val="right"/>
      <w:pPr>
        <w:tabs>
          <w:tab w:val="num" w:pos="2160"/>
        </w:tabs>
        <w:ind w:left="2160" w:hanging="180"/>
      </w:pPr>
    </w:lvl>
    <w:lvl w:ilvl="3" w:tplc="A658F5FA" w:tentative="1">
      <w:start w:val="1"/>
      <w:numFmt w:val="decimal"/>
      <w:lvlText w:val="%4."/>
      <w:lvlJc w:val="left"/>
      <w:pPr>
        <w:tabs>
          <w:tab w:val="num" w:pos="2880"/>
        </w:tabs>
        <w:ind w:left="2880" w:hanging="360"/>
      </w:pPr>
    </w:lvl>
    <w:lvl w:ilvl="4" w:tplc="15A6E9E0" w:tentative="1">
      <w:start w:val="1"/>
      <w:numFmt w:val="lowerLetter"/>
      <w:lvlText w:val="%5."/>
      <w:lvlJc w:val="left"/>
      <w:pPr>
        <w:tabs>
          <w:tab w:val="num" w:pos="3600"/>
        </w:tabs>
        <w:ind w:left="3600" w:hanging="360"/>
      </w:pPr>
    </w:lvl>
    <w:lvl w:ilvl="5" w:tplc="DAC8E34C" w:tentative="1">
      <w:start w:val="1"/>
      <w:numFmt w:val="lowerRoman"/>
      <w:lvlText w:val="%6."/>
      <w:lvlJc w:val="right"/>
      <w:pPr>
        <w:tabs>
          <w:tab w:val="num" w:pos="4320"/>
        </w:tabs>
        <w:ind w:left="4320" w:hanging="180"/>
      </w:pPr>
    </w:lvl>
    <w:lvl w:ilvl="6" w:tplc="81C87836" w:tentative="1">
      <w:start w:val="1"/>
      <w:numFmt w:val="decimal"/>
      <w:lvlText w:val="%7."/>
      <w:lvlJc w:val="left"/>
      <w:pPr>
        <w:tabs>
          <w:tab w:val="num" w:pos="5040"/>
        </w:tabs>
        <w:ind w:left="5040" w:hanging="360"/>
      </w:pPr>
    </w:lvl>
    <w:lvl w:ilvl="7" w:tplc="4CC23370" w:tentative="1">
      <w:start w:val="1"/>
      <w:numFmt w:val="lowerLetter"/>
      <w:lvlText w:val="%8."/>
      <w:lvlJc w:val="left"/>
      <w:pPr>
        <w:tabs>
          <w:tab w:val="num" w:pos="5760"/>
        </w:tabs>
        <w:ind w:left="5760" w:hanging="360"/>
      </w:pPr>
    </w:lvl>
    <w:lvl w:ilvl="8" w:tplc="9DB21BF8" w:tentative="1">
      <w:start w:val="1"/>
      <w:numFmt w:val="lowerRoman"/>
      <w:lvlText w:val="%9."/>
      <w:lvlJc w:val="right"/>
      <w:pPr>
        <w:tabs>
          <w:tab w:val="num" w:pos="6480"/>
        </w:tabs>
        <w:ind w:left="6480" w:hanging="180"/>
      </w:pPr>
    </w:lvl>
  </w:abstractNum>
  <w:abstractNum w:abstractNumId="5">
    <w:nsid w:val="1F536C19"/>
    <w:multiLevelType w:val="hybridMultilevel"/>
    <w:tmpl w:val="9FB0CA20"/>
    <w:lvl w:ilvl="0" w:tplc="9EA49FC8">
      <w:start w:val="1"/>
      <w:numFmt w:val="bullet"/>
      <w:lvlText w:val=""/>
      <w:lvlJc w:val="left"/>
      <w:pPr>
        <w:tabs>
          <w:tab w:val="num" w:pos="720"/>
        </w:tabs>
        <w:ind w:left="720" w:hanging="360"/>
      </w:pPr>
      <w:rPr>
        <w:rFonts w:ascii="Symbol" w:hAnsi="Symbol" w:hint="default"/>
        <w:sz w:val="20"/>
      </w:rPr>
    </w:lvl>
    <w:lvl w:ilvl="1" w:tplc="4E301FF6">
      <w:start w:val="1"/>
      <w:numFmt w:val="upperRoman"/>
      <w:lvlText w:val="%2."/>
      <w:lvlJc w:val="right"/>
      <w:pPr>
        <w:tabs>
          <w:tab w:val="num" w:pos="1440"/>
        </w:tabs>
        <w:ind w:left="1440" w:hanging="360"/>
      </w:pPr>
    </w:lvl>
    <w:lvl w:ilvl="2" w:tplc="91C823D6">
      <w:start w:val="1"/>
      <w:numFmt w:val="bullet"/>
      <w:lvlText w:val=""/>
      <w:lvlJc w:val="left"/>
      <w:pPr>
        <w:tabs>
          <w:tab w:val="num" w:pos="2160"/>
        </w:tabs>
        <w:ind w:left="2160" w:hanging="360"/>
      </w:pPr>
      <w:rPr>
        <w:rFonts w:ascii="Wingdings" w:hAnsi="Wingdings" w:hint="default"/>
        <w:sz w:val="20"/>
      </w:rPr>
    </w:lvl>
    <w:lvl w:ilvl="3" w:tplc="2DA224C6" w:tentative="1">
      <w:start w:val="1"/>
      <w:numFmt w:val="bullet"/>
      <w:lvlText w:val=""/>
      <w:lvlJc w:val="left"/>
      <w:pPr>
        <w:tabs>
          <w:tab w:val="num" w:pos="2880"/>
        </w:tabs>
        <w:ind w:left="2880" w:hanging="360"/>
      </w:pPr>
      <w:rPr>
        <w:rFonts w:ascii="Wingdings" w:hAnsi="Wingdings" w:hint="default"/>
        <w:sz w:val="20"/>
      </w:rPr>
    </w:lvl>
    <w:lvl w:ilvl="4" w:tplc="411E8090" w:tentative="1">
      <w:start w:val="1"/>
      <w:numFmt w:val="bullet"/>
      <w:lvlText w:val=""/>
      <w:lvlJc w:val="left"/>
      <w:pPr>
        <w:tabs>
          <w:tab w:val="num" w:pos="3600"/>
        </w:tabs>
        <w:ind w:left="3600" w:hanging="360"/>
      </w:pPr>
      <w:rPr>
        <w:rFonts w:ascii="Wingdings" w:hAnsi="Wingdings" w:hint="default"/>
        <w:sz w:val="20"/>
      </w:rPr>
    </w:lvl>
    <w:lvl w:ilvl="5" w:tplc="8F681578" w:tentative="1">
      <w:start w:val="1"/>
      <w:numFmt w:val="bullet"/>
      <w:lvlText w:val=""/>
      <w:lvlJc w:val="left"/>
      <w:pPr>
        <w:tabs>
          <w:tab w:val="num" w:pos="4320"/>
        </w:tabs>
        <w:ind w:left="4320" w:hanging="360"/>
      </w:pPr>
      <w:rPr>
        <w:rFonts w:ascii="Wingdings" w:hAnsi="Wingdings" w:hint="default"/>
        <w:sz w:val="20"/>
      </w:rPr>
    </w:lvl>
    <w:lvl w:ilvl="6" w:tplc="215C1A3A" w:tentative="1">
      <w:start w:val="1"/>
      <w:numFmt w:val="bullet"/>
      <w:lvlText w:val=""/>
      <w:lvlJc w:val="left"/>
      <w:pPr>
        <w:tabs>
          <w:tab w:val="num" w:pos="5040"/>
        </w:tabs>
        <w:ind w:left="5040" w:hanging="360"/>
      </w:pPr>
      <w:rPr>
        <w:rFonts w:ascii="Wingdings" w:hAnsi="Wingdings" w:hint="default"/>
        <w:sz w:val="20"/>
      </w:rPr>
    </w:lvl>
    <w:lvl w:ilvl="7" w:tplc="6E1830D4" w:tentative="1">
      <w:start w:val="1"/>
      <w:numFmt w:val="bullet"/>
      <w:lvlText w:val=""/>
      <w:lvlJc w:val="left"/>
      <w:pPr>
        <w:tabs>
          <w:tab w:val="num" w:pos="5760"/>
        </w:tabs>
        <w:ind w:left="5760" w:hanging="360"/>
      </w:pPr>
      <w:rPr>
        <w:rFonts w:ascii="Wingdings" w:hAnsi="Wingdings" w:hint="default"/>
        <w:sz w:val="20"/>
      </w:rPr>
    </w:lvl>
    <w:lvl w:ilvl="8" w:tplc="BEF0870E"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C2D49"/>
    <w:multiLevelType w:val="hybridMultilevel"/>
    <w:tmpl w:val="CEAAEA2C"/>
    <w:lvl w:ilvl="0" w:tplc="D0BAE91C">
      <w:start w:val="6"/>
      <w:numFmt w:val="decimal"/>
      <w:lvlText w:val="(%1)"/>
      <w:lvlJc w:val="left"/>
      <w:pPr>
        <w:tabs>
          <w:tab w:val="num" w:pos="720"/>
        </w:tabs>
        <w:ind w:left="720" w:hanging="360"/>
      </w:pPr>
      <w:rPr>
        <w:rFonts w:hint="default"/>
      </w:rPr>
    </w:lvl>
    <w:lvl w:ilvl="1" w:tplc="9E9E9A2C" w:tentative="1">
      <w:start w:val="1"/>
      <w:numFmt w:val="lowerLetter"/>
      <w:lvlText w:val="%2."/>
      <w:lvlJc w:val="left"/>
      <w:pPr>
        <w:tabs>
          <w:tab w:val="num" w:pos="1440"/>
        </w:tabs>
        <w:ind w:left="1440" w:hanging="360"/>
      </w:pPr>
    </w:lvl>
    <w:lvl w:ilvl="2" w:tplc="33AEEDD4" w:tentative="1">
      <w:start w:val="1"/>
      <w:numFmt w:val="lowerRoman"/>
      <w:lvlText w:val="%3."/>
      <w:lvlJc w:val="right"/>
      <w:pPr>
        <w:tabs>
          <w:tab w:val="num" w:pos="2160"/>
        </w:tabs>
        <w:ind w:left="2160" w:hanging="180"/>
      </w:pPr>
    </w:lvl>
    <w:lvl w:ilvl="3" w:tplc="9A240322" w:tentative="1">
      <w:start w:val="1"/>
      <w:numFmt w:val="decimal"/>
      <w:lvlText w:val="%4."/>
      <w:lvlJc w:val="left"/>
      <w:pPr>
        <w:tabs>
          <w:tab w:val="num" w:pos="2880"/>
        </w:tabs>
        <w:ind w:left="2880" w:hanging="360"/>
      </w:pPr>
    </w:lvl>
    <w:lvl w:ilvl="4" w:tplc="A95258A4" w:tentative="1">
      <w:start w:val="1"/>
      <w:numFmt w:val="lowerLetter"/>
      <w:lvlText w:val="%5."/>
      <w:lvlJc w:val="left"/>
      <w:pPr>
        <w:tabs>
          <w:tab w:val="num" w:pos="3600"/>
        </w:tabs>
        <w:ind w:left="3600" w:hanging="360"/>
      </w:pPr>
    </w:lvl>
    <w:lvl w:ilvl="5" w:tplc="E1541778" w:tentative="1">
      <w:start w:val="1"/>
      <w:numFmt w:val="lowerRoman"/>
      <w:lvlText w:val="%6."/>
      <w:lvlJc w:val="right"/>
      <w:pPr>
        <w:tabs>
          <w:tab w:val="num" w:pos="4320"/>
        </w:tabs>
        <w:ind w:left="4320" w:hanging="180"/>
      </w:pPr>
    </w:lvl>
    <w:lvl w:ilvl="6" w:tplc="9956EC36" w:tentative="1">
      <w:start w:val="1"/>
      <w:numFmt w:val="decimal"/>
      <w:lvlText w:val="%7."/>
      <w:lvlJc w:val="left"/>
      <w:pPr>
        <w:tabs>
          <w:tab w:val="num" w:pos="5040"/>
        </w:tabs>
        <w:ind w:left="5040" w:hanging="360"/>
      </w:pPr>
    </w:lvl>
    <w:lvl w:ilvl="7" w:tplc="5B16CAAA" w:tentative="1">
      <w:start w:val="1"/>
      <w:numFmt w:val="lowerLetter"/>
      <w:lvlText w:val="%8."/>
      <w:lvlJc w:val="left"/>
      <w:pPr>
        <w:tabs>
          <w:tab w:val="num" w:pos="5760"/>
        </w:tabs>
        <w:ind w:left="5760" w:hanging="360"/>
      </w:pPr>
    </w:lvl>
    <w:lvl w:ilvl="8" w:tplc="77A461CA" w:tentative="1">
      <w:start w:val="1"/>
      <w:numFmt w:val="lowerRoman"/>
      <w:lvlText w:val="%9."/>
      <w:lvlJc w:val="right"/>
      <w:pPr>
        <w:tabs>
          <w:tab w:val="num" w:pos="6480"/>
        </w:tabs>
        <w:ind w:left="6480" w:hanging="180"/>
      </w:pPr>
    </w:lvl>
  </w:abstractNum>
  <w:abstractNum w:abstractNumId="7">
    <w:nsid w:val="26F54E20"/>
    <w:multiLevelType w:val="hybridMultilevel"/>
    <w:tmpl w:val="9FAE502C"/>
    <w:lvl w:ilvl="0" w:tplc="FF54C27C">
      <w:start w:val="1"/>
      <w:numFmt w:val="decimal"/>
      <w:lvlText w:val="(%1)"/>
      <w:lvlJc w:val="left"/>
      <w:pPr>
        <w:tabs>
          <w:tab w:val="num" w:pos="720"/>
        </w:tabs>
        <w:ind w:left="720" w:hanging="360"/>
      </w:pPr>
      <w:rPr>
        <w:rFonts w:hint="default"/>
      </w:rPr>
    </w:lvl>
    <w:lvl w:ilvl="1" w:tplc="87123694" w:tentative="1">
      <w:start w:val="1"/>
      <w:numFmt w:val="lowerLetter"/>
      <w:lvlText w:val="%2."/>
      <w:lvlJc w:val="left"/>
      <w:pPr>
        <w:tabs>
          <w:tab w:val="num" w:pos="1440"/>
        </w:tabs>
        <w:ind w:left="1440" w:hanging="360"/>
      </w:pPr>
    </w:lvl>
    <w:lvl w:ilvl="2" w:tplc="34642B68" w:tentative="1">
      <w:start w:val="1"/>
      <w:numFmt w:val="lowerRoman"/>
      <w:lvlText w:val="%3."/>
      <w:lvlJc w:val="right"/>
      <w:pPr>
        <w:tabs>
          <w:tab w:val="num" w:pos="2160"/>
        </w:tabs>
        <w:ind w:left="2160" w:hanging="180"/>
      </w:pPr>
    </w:lvl>
    <w:lvl w:ilvl="3" w:tplc="87FAE108" w:tentative="1">
      <w:start w:val="1"/>
      <w:numFmt w:val="decimal"/>
      <w:lvlText w:val="%4."/>
      <w:lvlJc w:val="left"/>
      <w:pPr>
        <w:tabs>
          <w:tab w:val="num" w:pos="2880"/>
        </w:tabs>
        <w:ind w:left="2880" w:hanging="360"/>
      </w:pPr>
    </w:lvl>
    <w:lvl w:ilvl="4" w:tplc="78F8530A" w:tentative="1">
      <w:start w:val="1"/>
      <w:numFmt w:val="lowerLetter"/>
      <w:lvlText w:val="%5."/>
      <w:lvlJc w:val="left"/>
      <w:pPr>
        <w:tabs>
          <w:tab w:val="num" w:pos="3600"/>
        </w:tabs>
        <w:ind w:left="3600" w:hanging="360"/>
      </w:pPr>
    </w:lvl>
    <w:lvl w:ilvl="5" w:tplc="278EC02C" w:tentative="1">
      <w:start w:val="1"/>
      <w:numFmt w:val="lowerRoman"/>
      <w:lvlText w:val="%6."/>
      <w:lvlJc w:val="right"/>
      <w:pPr>
        <w:tabs>
          <w:tab w:val="num" w:pos="4320"/>
        </w:tabs>
        <w:ind w:left="4320" w:hanging="180"/>
      </w:pPr>
    </w:lvl>
    <w:lvl w:ilvl="6" w:tplc="E2A69966" w:tentative="1">
      <w:start w:val="1"/>
      <w:numFmt w:val="decimal"/>
      <w:lvlText w:val="%7."/>
      <w:lvlJc w:val="left"/>
      <w:pPr>
        <w:tabs>
          <w:tab w:val="num" w:pos="5040"/>
        </w:tabs>
        <w:ind w:left="5040" w:hanging="360"/>
      </w:pPr>
    </w:lvl>
    <w:lvl w:ilvl="7" w:tplc="4A10A438" w:tentative="1">
      <w:start w:val="1"/>
      <w:numFmt w:val="lowerLetter"/>
      <w:lvlText w:val="%8."/>
      <w:lvlJc w:val="left"/>
      <w:pPr>
        <w:tabs>
          <w:tab w:val="num" w:pos="5760"/>
        </w:tabs>
        <w:ind w:left="5760" w:hanging="360"/>
      </w:pPr>
    </w:lvl>
    <w:lvl w:ilvl="8" w:tplc="ABC07050" w:tentative="1">
      <w:start w:val="1"/>
      <w:numFmt w:val="lowerRoman"/>
      <w:lvlText w:val="%9."/>
      <w:lvlJc w:val="right"/>
      <w:pPr>
        <w:tabs>
          <w:tab w:val="num" w:pos="6480"/>
        </w:tabs>
        <w:ind w:left="6480" w:hanging="180"/>
      </w:pPr>
    </w:lvl>
  </w:abstractNum>
  <w:abstractNum w:abstractNumId="8">
    <w:nsid w:val="2DBA6E48"/>
    <w:multiLevelType w:val="hybridMultilevel"/>
    <w:tmpl w:val="525ACC32"/>
    <w:lvl w:ilvl="0" w:tplc="A38A8D08">
      <w:start w:val="1"/>
      <w:numFmt w:val="upperRoman"/>
      <w:pStyle w:val="Heading1"/>
      <w:lvlText w:val="%1."/>
      <w:lvlJc w:val="left"/>
      <w:pPr>
        <w:tabs>
          <w:tab w:val="num" w:pos="720"/>
        </w:tabs>
        <w:ind w:left="720" w:hanging="720"/>
      </w:pPr>
      <w:rPr>
        <w:rFonts w:hint="default"/>
      </w:rPr>
    </w:lvl>
    <w:lvl w:ilvl="1" w:tplc="18AAA8BE" w:tentative="1">
      <w:start w:val="1"/>
      <w:numFmt w:val="lowerLetter"/>
      <w:lvlText w:val="%2."/>
      <w:lvlJc w:val="left"/>
      <w:pPr>
        <w:tabs>
          <w:tab w:val="num" w:pos="1080"/>
        </w:tabs>
        <w:ind w:left="1080" w:hanging="360"/>
      </w:pPr>
    </w:lvl>
    <w:lvl w:ilvl="2" w:tplc="0C627F5E" w:tentative="1">
      <w:start w:val="1"/>
      <w:numFmt w:val="lowerRoman"/>
      <w:lvlText w:val="%3."/>
      <w:lvlJc w:val="right"/>
      <w:pPr>
        <w:tabs>
          <w:tab w:val="num" w:pos="1800"/>
        </w:tabs>
        <w:ind w:left="1800" w:hanging="180"/>
      </w:pPr>
    </w:lvl>
    <w:lvl w:ilvl="3" w:tplc="9A80854E" w:tentative="1">
      <w:start w:val="1"/>
      <w:numFmt w:val="decimal"/>
      <w:lvlText w:val="%4."/>
      <w:lvlJc w:val="left"/>
      <w:pPr>
        <w:tabs>
          <w:tab w:val="num" w:pos="2520"/>
        </w:tabs>
        <w:ind w:left="2520" w:hanging="360"/>
      </w:pPr>
    </w:lvl>
    <w:lvl w:ilvl="4" w:tplc="9D3EEF16" w:tentative="1">
      <w:start w:val="1"/>
      <w:numFmt w:val="lowerLetter"/>
      <w:lvlText w:val="%5."/>
      <w:lvlJc w:val="left"/>
      <w:pPr>
        <w:tabs>
          <w:tab w:val="num" w:pos="3240"/>
        </w:tabs>
        <w:ind w:left="3240" w:hanging="360"/>
      </w:pPr>
    </w:lvl>
    <w:lvl w:ilvl="5" w:tplc="C8F61BC2" w:tentative="1">
      <w:start w:val="1"/>
      <w:numFmt w:val="lowerRoman"/>
      <w:lvlText w:val="%6."/>
      <w:lvlJc w:val="right"/>
      <w:pPr>
        <w:tabs>
          <w:tab w:val="num" w:pos="3960"/>
        </w:tabs>
        <w:ind w:left="3960" w:hanging="180"/>
      </w:pPr>
    </w:lvl>
    <w:lvl w:ilvl="6" w:tplc="44784292" w:tentative="1">
      <w:start w:val="1"/>
      <w:numFmt w:val="decimal"/>
      <w:lvlText w:val="%7."/>
      <w:lvlJc w:val="left"/>
      <w:pPr>
        <w:tabs>
          <w:tab w:val="num" w:pos="4680"/>
        </w:tabs>
        <w:ind w:left="4680" w:hanging="360"/>
      </w:pPr>
    </w:lvl>
    <w:lvl w:ilvl="7" w:tplc="63F2D9F0" w:tentative="1">
      <w:start w:val="1"/>
      <w:numFmt w:val="lowerLetter"/>
      <w:lvlText w:val="%8."/>
      <w:lvlJc w:val="left"/>
      <w:pPr>
        <w:tabs>
          <w:tab w:val="num" w:pos="5400"/>
        </w:tabs>
        <w:ind w:left="5400" w:hanging="360"/>
      </w:pPr>
    </w:lvl>
    <w:lvl w:ilvl="8" w:tplc="664287BA" w:tentative="1">
      <w:start w:val="1"/>
      <w:numFmt w:val="lowerRoman"/>
      <w:lvlText w:val="%9."/>
      <w:lvlJc w:val="right"/>
      <w:pPr>
        <w:tabs>
          <w:tab w:val="num" w:pos="6120"/>
        </w:tabs>
        <w:ind w:left="6120" w:hanging="180"/>
      </w:pPr>
    </w:lvl>
  </w:abstractNum>
  <w:abstractNum w:abstractNumId="9">
    <w:nsid w:val="2F8A01D2"/>
    <w:multiLevelType w:val="hybridMultilevel"/>
    <w:tmpl w:val="871E22F8"/>
    <w:lvl w:ilvl="0" w:tplc="36D846DE">
      <w:start w:val="7"/>
      <w:numFmt w:val="decimal"/>
      <w:lvlText w:val="(%1)"/>
      <w:lvlJc w:val="left"/>
      <w:pPr>
        <w:tabs>
          <w:tab w:val="num" w:pos="720"/>
        </w:tabs>
        <w:ind w:left="720" w:hanging="360"/>
      </w:pPr>
      <w:rPr>
        <w:rFonts w:hint="default"/>
      </w:rPr>
    </w:lvl>
    <w:lvl w:ilvl="1" w:tplc="494AE966" w:tentative="1">
      <w:start w:val="1"/>
      <w:numFmt w:val="lowerLetter"/>
      <w:lvlText w:val="%2."/>
      <w:lvlJc w:val="left"/>
      <w:pPr>
        <w:tabs>
          <w:tab w:val="num" w:pos="1440"/>
        </w:tabs>
        <w:ind w:left="1440" w:hanging="360"/>
      </w:pPr>
    </w:lvl>
    <w:lvl w:ilvl="2" w:tplc="9DE6F544" w:tentative="1">
      <w:start w:val="1"/>
      <w:numFmt w:val="lowerRoman"/>
      <w:lvlText w:val="%3."/>
      <w:lvlJc w:val="right"/>
      <w:pPr>
        <w:tabs>
          <w:tab w:val="num" w:pos="2160"/>
        </w:tabs>
        <w:ind w:left="2160" w:hanging="180"/>
      </w:pPr>
    </w:lvl>
    <w:lvl w:ilvl="3" w:tplc="D2C45888" w:tentative="1">
      <w:start w:val="1"/>
      <w:numFmt w:val="decimal"/>
      <w:lvlText w:val="%4."/>
      <w:lvlJc w:val="left"/>
      <w:pPr>
        <w:tabs>
          <w:tab w:val="num" w:pos="2880"/>
        </w:tabs>
        <w:ind w:left="2880" w:hanging="360"/>
      </w:pPr>
    </w:lvl>
    <w:lvl w:ilvl="4" w:tplc="AEEAFAAE" w:tentative="1">
      <w:start w:val="1"/>
      <w:numFmt w:val="lowerLetter"/>
      <w:lvlText w:val="%5."/>
      <w:lvlJc w:val="left"/>
      <w:pPr>
        <w:tabs>
          <w:tab w:val="num" w:pos="3600"/>
        </w:tabs>
        <w:ind w:left="3600" w:hanging="360"/>
      </w:pPr>
    </w:lvl>
    <w:lvl w:ilvl="5" w:tplc="ADFADD70" w:tentative="1">
      <w:start w:val="1"/>
      <w:numFmt w:val="lowerRoman"/>
      <w:lvlText w:val="%6."/>
      <w:lvlJc w:val="right"/>
      <w:pPr>
        <w:tabs>
          <w:tab w:val="num" w:pos="4320"/>
        </w:tabs>
        <w:ind w:left="4320" w:hanging="180"/>
      </w:pPr>
    </w:lvl>
    <w:lvl w:ilvl="6" w:tplc="8D86CC3E" w:tentative="1">
      <w:start w:val="1"/>
      <w:numFmt w:val="decimal"/>
      <w:lvlText w:val="%7."/>
      <w:lvlJc w:val="left"/>
      <w:pPr>
        <w:tabs>
          <w:tab w:val="num" w:pos="5040"/>
        </w:tabs>
        <w:ind w:left="5040" w:hanging="360"/>
      </w:pPr>
    </w:lvl>
    <w:lvl w:ilvl="7" w:tplc="DFAEBF36" w:tentative="1">
      <w:start w:val="1"/>
      <w:numFmt w:val="lowerLetter"/>
      <w:lvlText w:val="%8."/>
      <w:lvlJc w:val="left"/>
      <w:pPr>
        <w:tabs>
          <w:tab w:val="num" w:pos="5760"/>
        </w:tabs>
        <w:ind w:left="5760" w:hanging="360"/>
      </w:pPr>
    </w:lvl>
    <w:lvl w:ilvl="8" w:tplc="1ED414C0" w:tentative="1">
      <w:start w:val="1"/>
      <w:numFmt w:val="lowerRoman"/>
      <w:lvlText w:val="%9."/>
      <w:lvlJc w:val="right"/>
      <w:pPr>
        <w:tabs>
          <w:tab w:val="num" w:pos="6480"/>
        </w:tabs>
        <w:ind w:left="6480" w:hanging="180"/>
      </w:pPr>
    </w:lvl>
  </w:abstractNum>
  <w:abstractNum w:abstractNumId="10">
    <w:nsid w:val="39096092"/>
    <w:multiLevelType w:val="hybridMultilevel"/>
    <w:tmpl w:val="235A8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66DA2"/>
    <w:multiLevelType w:val="multilevel"/>
    <w:tmpl w:val="987AEA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6643568E"/>
    <w:multiLevelType w:val="hybridMultilevel"/>
    <w:tmpl w:val="5C7EBC10"/>
    <w:lvl w:ilvl="0" w:tplc="36F2743A">
      <w:start w:val="1"/>
      <w:numFmt w:val="decimal"/>
      <w:lvlText w:val="(%1)"/>
      <w:lvlJc w:val="left"/>
      <w:pPr>
        <w:tabs>
          <w:tab w:val="num" w:pos="720"/>
        </w:tabs>
        <w:ind w:left="720" w:hanging="360"/>
      </w:pPr>
      <w:rPr>
        <w:rFonts w:hint="default"/>
      </w:rPr>
    </w:lvl>
    <w:lvl w:ilvl="1" w:tplc="4BF8F426" w:tentative="1">
      <w:start w:val="1"/>
      <w:numFmt w:val="lowerLetter"/>
      <w:lvlText w:val="%2."/>
      <w:lvlJc w:val="left"/>
      <w:pPr>
        <w:tabs>
          <w:tab w:val="num" w:pos="1440"/>
        </w:tabs>
        <w:ind w:left="1440" w:hanging="360"/>
      </w:pPr>
    </w:lvl>
    <w:lvl w:ilvl="2" w:tplc="EF5E946A" w:tentative="1">
      <w:start w:val="1"/>
      <w:numFmt w:val="lowerRoman"/>
      <w:lvlText w:val="%3."/>
      <w:lvlJc w:val="right"/>
      <w:pPr>
        <w:tabs>
          <w:tab w:val="num" w:pos="2160"/>
        </w:tabs>
        <w:ind w:left="2160" w:hanging="180"/>
      </w:pPr>
    </w:lvl>
    <w:lvl w:ilvl="3" w:tplc="2F8C56CE" w:tentative="1">
      <w:start w:val="1"/>
      <w:numFmt w:val="decimal"/>
      <w:lvlText w:val="%4."/>
      <w:lvlJc w:val="left"/>
      <w:pPr>
        <w:tabs>
          <w:tab w:val="num" w:pos="2880"/>
        </w:tabs>
        <w:ind w:left="2880" w:hanging="360"/>
      </w:pPr>
    </w:lvl>
    <w:lvl w:ilvl="4" w:tplc="8E340E32" w:tentative="1">
      <w:start w:val="1"/>
      <w:numFmt w:val="lowerLetter"/>
      <w:lvlText w:val="%5."/>
      <w:lvlJc w:val="left"/>
      <w:pPr>
        <w:tabs>
          <w:tab w:val="num" w:pos="3600"/>
        </w:tabs>
        <w:ind w:left="3600" w:hanging="360"/>
      </w:pPr>
    </w:lvl>
    <w:lvl w:ilvl="5" w:tplc="1958B27C" w:tentative="1">
      <w:start w:val="1"/>
      <w:numFmt w:val="lowerRoman"/>
      <w:lvlText w:val="%6."/>
      <w:lvlJc w:val="right"/>
      <w:pPr>
        <w:tabs>
          <w:tab w:val="num" w:pos="4320"/>
        </w:tabs>
        <w:ind w:left="4320" w:hanging="180"/>
      </w:pPr>
    </w:lvl>
    <w:lvl w:ilvl="6" w:tplc="C8E45ECA" w:tentative="1">
      <w:start w:val="1"/>
      <w:numFmt w:val="decimal"/>
      <w:lvlText w:val="%7."/>
      <w:lvlJc w:val="left"/>
      <w:pPr>
        <w:tabs>
          <w:tab w:val="num" w:pos="5040"/>
        </w:tabs>
        <w:ind w:left="5040" w:hanging="360"/>
      </w:pPr>
    </w:lvl>
    <w:lvl w:ilvl="7" w:tplc="DA102FD8" w:tentative="1">
      <w:start w:val="1"/>
      <w:numFmt w:val="lowerLetter"/>
      <w:lvlText w:val="%8."/>
      <w:lvlJc w:val="left"/>
      <w:pPr>
        <w:tabs>
          <w:tab w:val="num" w:pos="5760"/>
        </w:tabs>
        <w:ind w:left="5760" w:hanging="360"/>
      </w:pPr>
    </w:lvl>
    <w:lvl w:ilvl="8" w:tplc="CE0EAD08" w:tentative="1">
      <w:start w:val="1"/>
      <w:numFmt w:val="lowerRoman"/>
      <w:lvlText w:val="%9."/>
      <w:lvlJc w:val="right"/>
      <w:pPr>
        <w:tabs>
          <w:tab w:val="num" w:pos="6480"/>
        </w:tabs>
        <w:ind w:left="6480" w:hanging="180"/>
      </w:pPr>
    </w:lvl>
  </w:abstractNum>
  <w:abstractNum w:abstractNumId="13">
    <w:nsid w:val="75E2389A"/>
    <w:multiLevelType w:val="hybridMultilevel"/>
    <w:tmpl w:val="07301BB2"/>
    <w:lvl w:ilvl="0" w:tplc="A072D3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B3652"/>
    <w:multiLevelType w:val="hybridMultilevel"/>
    <w:tmpl w:val="42B46462"/>
    <w:lvl w:ilvl="0" w:tplc="F9BE7740">
      <w:start w:val="1"/>
      <w:numFmt w:val="decimal"/>
      <w:lvlText w:val="(%1)"/>
      <w:lvlJc w:val="left"/>
      <w:pPr>
        <w:tabs>
          <w:tab w:val="num" w:pos="630"/>
        </w:tabs>
        <w:ind w:left="630" w:hanging="360"/>
      </w:pPr>
      <w:rPr>
        <w:rFonts w:hint="default"/>
      </w:rPr>
    </w:lvl>
    <w:lvl w:ilvl="1" w:tplc="3FC0F414">
      <w:start w:val="1"/>
      <w:numFmt w:val="lowerLetter"/>
      <w:lvlText w:val="(%2)"/>
      <w:lvlJc w:val="left"/>
      <w:pPr>
        <w:tabs>
          <w:tab w:val="num" w:pos="1440"/>
        </w:tabs>
        <w:ind w:left="1440" w:hanging="360"/>
      </w:pPr>
      <w:rPr>
        <w:rFonts w:hint="default"/>
      </w:rPr>
    </w:lvl>
    <w:lvl w:ilvl="2" w:tplc="2DF210D8" w:tentative="1">
      <w:start w:val="1"/>
      <w:numFmt w:val="lowerRoman"/>
      <w:lvlText w:val="%3."/>
      <w:lvlJc w:val="right"/>
      <w:pPr>
        <w:tabs>
          <w:tab w:val="num" w:pos="2160"/>
        </w:tabs>
        <w:ind w:left="2160" w:hanging="180"/>
      </w:pPr>
    </w:lvl>
    <w:lvl w:ilvl="3" w:tplc="7F30C314" w:tentative="1">
      <w:start w:val="1"/>
      <w:numFmt w:val="decimal"/>
      <w:lvlText w:val="%4."/>
      <w:lvlJc w:val="left"/>
      <w:pPr>
        <w:tabs>
          <w:tab w:val="num" w:pos="2880"/>
        </w:tabs>
        <w:ind w:left="2880" w:hanging="360"/>
      </w:pPr>
    </w:lvl>
    <w:lvl w:ilvl="4" w:tplc="929ACC1A" w:tentative="1">
      <w:start w:val="1"/>
      <w:numFmt w:val="lowerLetter"/>
      <w:lvlText w:val="%5."/>
      <w:lvlJc w:val="left"/>
      <w:pPr>
        <w:tabs>
          <w:tab w:val="num" w:pos="3600"/>
        </w:tabs>
        <w:ind w:left="3600" w:hanging="360"/>
      </w:pPr>
    </w:lvl>
    <w:lvl w:ilvl="5" w:tplc="A98283F6" w:tentative="1">
      <w:start w:val="1"/>
      <w:numFmt w:val="lowerRoman"/>
      <w:lvlText w:val="%6."/>
      <w:lvlJc w:val="right"/>
      <w:pPr>
        <w:tabs>
          <w:tab w:val="num" w:pos="4320"/>
        </w:tabs>
        <w:ind w:left="4320" w:hanging="180"/>
      </w:pPr>
    </w:lvl>
    <w:lvl w:ilvl="6" w:tplc="180274DA" w:tentative="1">
      <w:start w:val="1"/>
      <w:numFmt w:val="decimal"/>
      <w:lvlText w:val="%7."/>
      <w:lvlJc w:val="left"/>
      <w:pPr>
        <w:tabs>
          <w:tab w:val="num" w:pos="5040"/>
        </w:tabs>
        <w:ind w:left="5040" w:hanging="360"/>
      </w:pPr>
    </w:lvl>
    <w:lvl w:ilvl="7" w:tplc="655CE8E0" w:tentative="1">
      <w:start w:val="1"/>
      <w:numFmt w:val="lowerLetter"/>
      <w:lvlText w:val="%8."/>
      <w:lvlJc w:val="left"/>
      <w:pPr>
        <w:tabs>
          <w:tab w:val="num" w:pos="5760"/>
        </w:tabs>
        <w:ind w:left="5760" w:hanging="360"/>
      </w:pPr>
    </w:lvl>
    <w:lvl w:ilvl="8" w:tplc="797AA34C" w:tentative="1">
      <w:start w:val="1"/>
      <w:numFmt w:val="lowerRoman"/>
      <w:lvlText w:val="%9."/>
      <w:lvlJc w:val="right"/>
      <w:pPr>
        <w:tabs>
          <w:tab w:val="num" w:pos="6480"/>
        </w:tabs>
        <w:ind w:left="6480" w:hanging="180"/>
      </w:pPr>
    </w:lvl>
  </w:abstractNum>
  <w:abstractNum w:abstractNumId="15">
    <w:nsid w:val="7A7B2233"/>
    <w:multiLevelType w:val="hybridMultilevel"/>
    <w:tmpl w:val="A7B2C5BA"/>
    <w:lvl w:ilvl="0" w:tplc="0CE27C02">
      <w:start w:val="1"/>
      <w:numFmt w:val="decimal"/>
      <w:lvlText w:val="%1."/>
      <w:lvlJc w:val="left"/>
      <w:pPr>
        <w:tabs>
          <w:tab w:val="num" w:pos="720"/>
        </w:tabs>
        <w:ind w:left="720" w:hanging="360"/>
      </w:pPr>
      <w:rPr>
        <w:rFonts w:hint="default"/>
      </w:rPr>
    </w:lvl>
    <w:lvl w:ilvl="1" w:tplc="C4B4D092" w:tentative="1">
      <w:start w:val="1"/>
      <w:numFmt w:val="lowerLetter"/>
      <w:lvlText w:val="%2."/>
      <w:lvlJc w:val="left"/>
      <w:pPr>
        <w:tabs>
          <w:tab w:val="num" w:pos="1440"/>
        </w:tabs>
        <w:ind w:left="1440" w:hanging="360"/>
      </w:pPr>
    </w:lvl>
    <w:lvl w:ilvl="2" w:tplc="0C6E46A6" w:tentative="1">
      <w:start w:val="1"/>
      <w:numFmt w:val="lowerRoman"/>
      <w:lvlText w:val="%3."/>
      <w:lvlJc w:val="right"/>
      <w:pPr>
        <w:tabs>
          <w:tab w:val="num" w:pos="2160"/>
        </w:tabs>
        <w:ind w:left="2160" w:hanging="180"/>
      </w:pPr>
    </w:lvl>
    <w:lvl w:ilvl="3" w:tplc="DF5A36E6" w:tentative="1">
      <w:start w:val="1"/>
      <w:numFmt w:val="decimal"/>
      <w:lvlText w:val="%4."/>
      <w:lvlJc w:val="left"/>
      <w:pPr>
        <w:tabs>
          <w:tab w:val="num" w:pos="2880"/>
        </w:tabs>
        <w:ind w:left="2880" w:hanging="360"/>
      </w:pPr>
    </w:lvl>
    <w:lvl w:ilvl="4" w:tplc="73B68774" w:tentative="1">
      <w:start w:val="1"/>
      <w:numFmt w:val="lowerLetter"/>
      <w:lvlText w:val="%5."/>
      <w:lvlJc w:val="left"/>
      <w:pPr>
        <w:tabs>
          <w:tab w:val="num" w:pos="3600"/>
        </w:tabs>
        <w:ind w:left="3600" w:hanging="360"/>
      </w:pPr>
    </w:lvl>
    <w:lvl w:ilvl="5" w:tplc="D5187E52" w:tentative="1">
      <w:start w:val="1"/>
      <w:numFmt w:val="lowerRoman"/>
      <w:lvlText w:val="%6."/>
      <w:lvlJc w:val="right"/>
      <w:pPr>
        <w:tabs>
          <w:tab w:val="num" w:pos="4320"/>
        </w:tabs>
        <w:ind w:left="4320" w:hanging="180"/>
      </w:pPr>
    </w:lvl>
    <w:lvl w:ilvl="6" w:tplc="810627D2" w:tentative="1">
      <w:start w:val="1"/>
      <w:numFmt w:val="decimal"/>
      <w:lvlText w:val="%7."/>
      <w:lvlJc w:val="left"/>
      <w:pPr>
        <w:tabs>
          <w:tab w:val="num" w:pos="5040"/>
        </w:tabs>
        <w:ind w:left="5040" w:hanging="360"/>
      </w:pPr>
    </w:lvl>
    <w:lvl w:ilvl="7" w:tplc="137E1F9C" w:tentative="1">
      <w:start w:val="1"/>
      <w:numFmt w:val="lowerLetter"/>
      <w:lvlText w:val="%8."/>
      <w:lvlJc w:val="left"/>
      <w:pPr>
        <w:tabs>
          <w:tab w:val="num" w:pos="5760"/>
        </w:tabs>
        <w:ind w:left="5760" w:hanging="360"/>
      </w:pPr>
    </w:lvl>
    <w:lvl w:ilvl="8" w:tplc="0B96BEB2"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9"/>
  </w:num>
  <w:num w:numId="5">
    <w:abstractNumId w:val="8"/>
    <w:lvlOverride w:ilvl="0">
      <w:startOverride w:val="4"/>
    </w:lvlOverride>
  </w:num>
  <w:num w:numId="6">
    <w:abstractNumId w:val="12"/>
  </w:num>
  <w:num w:numId="7">
    <w:abstractNumId w:val="4"/>
  </w:num>
  <w:num w:numId="8">
    <w:abstractNumId w:val="14"/>
  </w:num>
  <w:num w:numId="9">
    <w:abstractNumId w:val="5"/>
  </w:num>
  <w:num w:numId="10">
    <w:abstractNumId w:val="15"/>
  </w:num>
  <w:num w:numId="11">
    <w:abstractNumId w:val="2"/>
  </w:num>
  <w:num w:numId="12">
    <w:abstractNumId w:val="11"/>
  </w:num>
  <w:num w:numId="13">
    <w:abstractNumId w:val="8"/>
    <w:lvlOverride w:ilvl="0">
      <w:startOverride w:val="4"/>
    </w:lvlOverride>
  </w:num>
  <w:num w:numId="14">
    <w:abstractNumId w:val="7"/>
  </w:num>
  <w:num w:numId="15">
    <w:abstractNumId w:val="3"/>
  </w:num>
  <w:num w:numId="16">
    <w:abstractNumId w:val="10"/>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365416"/>
    <w:rsid w:val="0000161E"/>
    <w:rsid w:val="00010C35"/>
    <w:rsid w:val="0001618B"/>
    <w:rsid w:val="000300A4"/>
    <w:rsid w:val="00034FD0"/>
    <w:rsid w:val="0004651F"/>
    <w:rsid w:val="00072F38"/>
    <w:rsid w:val="00095B94"/>
    <w:rsid w:val="0009766C"/>
    <w:rsid w:val="000B2EBD"/>
    <w:rsid w:val="000B3F2D"/>
    <w:rsid w:val="000C0270"/>
    <w:rsid w:val="000F6FCA"/>
    <w:rsid w:val="001150B5"/>
    <w:rsid w:val="0011561D"/>
    <w:rsid w:val="0013560F"/>
    <w:rsid w:val="0014130B"/>
    <w:rsid w:val="00142E4E"/>
    <w:rsid w:val="00147EE6"/>
    <w:rsid w:val="0015055F"/>
    <w:rsid w:val="00154234"/>
    <w:rsid w:val="0017432B"/>
    <w:rsid w:val="001766F8"/>
    <w:rsid w:val="00182E9E"/>
    <w:rsid w:val="00195D6C"/>
    <w:rsid w:val="001A009A"/>
    <w:rsid w:val="001A25FD"/>
    <w:rsid w:val="001B0380"/>
    <w:rsid w:val="001B6C20"/>
    <w:rsid w:val="001C53FA"/>
    <w:rsid w:val="001D72A9"/>
    <w:rsid w:val="001E79A2"/>
    <w:rsid w:val="00217A1B"/>
    <w:rsid w:val="0022156B"/>
    <w:rsid w:val="00233E69"/>
    <w:rsid w:val="00242155"/>
    <w:rsid w:val="0024255E"/>
    <w:rsid w:val="00244EC1"/>
    <w:rsid w:val="002665A9"/>
    <w:rsid w:val="002A59A0"/>
    <w:rsid w:val="002B2663"/>
    <w:rsid w:val="002B4D7C"/>
    <w:rsid w:val="002C0069"/>
    <w:rsid w:val="002C2FF3"/>
    <w:rsid w:val="002C617D"/>
    <w:rsid w:val="002C66A0"/>
    <w:rsid w:val="002F57BE"/>
    <w:rsid w:val="00304486"/>
    <w:rsid w:val="00320C41"/>
    <w:rsid w:val="00337CC2"/>
    <w:rsid w:val="003400B8"/>
    <w:rsid w:val="00342526"/>
    <w:rsid w:val="0034332A"/>
    <w:rsid w:val="00353358"/>
    <w:rsid w:val="00365416"/>
    <w:rsid w:val="003738EB"/>
    <w:rsid w:val="003775EA"/>
    <w:rsid w:val="00387A20"/>
    <w:rsid w:val="00391666"/>
    <w:rsid w:val="003B1830"/>
    <w:rsid w:val="003C5B99"/>
    <w:rsid w:val="003E6EBA"/>
    <w:rsid w:val="00406C10"/>
    <w:rsid w:val="00416B76"/>
    <w:rsid w:val="004352EB"/>
    <w:rsid w:val="00442114"/>
    <w:rsid w:val="00451045"/>
    <w:rsid w:val="0045627B"/>
    <w:rsid w:val="00461F30"/>
    <w:rsid w:val="00463BB8"/>
    <w:rsid w:val="00475BBE"/>
    <w:rsid w:val="004806D3"/>
    <w:rsid w:val="004845FF"/>
    <w:rsid w:val="004847EF"/>
    <w:rsid w:val="004861FB"/>
    <w:rsid w:val="004A34D2"/>
    <w:rsid w:val="004A3BCB"/>
    <w:rsid w:val="004B26E6"/>
    <w:rsid w:val="004C0699"/>
    <w:rsid w:val="004D59F1"/>
    <w:rsid w:val="004F241B"/>
    <w:rsid w:val="0050495C"/>
    <w:rsid w:val="005164FE"/>
    <w:rsid w:val="00517196"/>
    <w:rsid w:val="0052080A"/>
    <w:rsid w:val="00535D83"/>
    <w:rsid w:val="0054696E"/>
    <w:rsid w:val="0059434B"/>
    <w:rsid w:val="00595C06"/>
    <w:rsid w:val="005A3428"/>
    <w:rsid w:val="005A7E1B"/>
    <w:rsid w:val="005B4594"/>
    <w:rsid w:val="005C1F28"/>
    <w:rsid w:val="005F5B2B"/>
    <w:rsid w:val="00601B34"/>
    <w:rsid w:val="0060485D"/>
    <w:rsid w:val="00604880"/>
    <w:rsid w:val="00615D3B"/>
    <w:rsid w:val="00627058"/>
    <w:rsid w:val="006351CC"/>
    <w:rsid w:val="0064554F"/>
    <w:rsid w:val="00666A13"/>
    <w:rsid w:val="006756EB"/>
    <w:rsid w:val="00682F68"/>
    <w:rsid w:val="0068754F"/>
    <w:rsid w:val="00692A23"/>
    <w:rsid w:val="006946AA"/>
    <w:rsid w:val="006A18F9"/>
    <w:rsid w:val="006B09D1"/>
    <w:rsid w:val="006C004A"/>
    <w:rsid w:val="006E24B6"/>
    <w:rsid w:val="006E2511"/>
    <w:rsid w:val="006F2131"/>
    <w:rsid w:val="00710043"/>
    <w:rsid w:val="00733734"/>
    <w:rsid w:val="00742133"/>
    <w:rsid w:val="00743443"/>
    <w:rsid w:val="00744048"/>
    <w:rsid w:val="0074721E"/>
    <w:rsid w:val="00747708"/>
    <w:rsid w:val="00751906"/>
    <w:rsid w:val="00751CC8"/>
    <w:rsid w:val="00766666"/>
    <w:rsid w:val="0078065B"/>
    <w:rsid w:val="00780E55"/>
    <w:rsid w:val="00792C40"/>
    <w:rsid w:val="007B3538"/>
    <w:rsid w:val="007B5CAE"/>
    <w:rsid w:val="007C7002"/>
    <w:rsid w:val="00806385"/>
    <w:rsid w:val="008137D3"/>
    <w:rsid w:val="00841268"/>
    <w:rsid w:val="008430E1"/>
    <w:rsid w:val="0084622B"/>
    <w:rsid w:val="00852090"/>
    <w:rsid w:val="00853E58"/>
    <w:rsid w:val="00863D54"/>
    <w:rsid w:val="00867129"/>
    <w:rsid w:val="00876AC0"/>
    <w:rsid w:val="00883D4D"/>
    <w:rsid w:val="00887FE4"/>
    <w:rsid w:val="0089348A"/>
    <w:rsid w:val="0089398B"/>
    <w:rsid w:val="00897E88"/>
    <w:rsid w:val="008B1921"/>
    <w:rsid w:val="008B6175"/>
    <w:rsid w:val="008C08E5"/>
    <w:rsid w:val="008C25D0"/>
    <w:rsid w:val="008C6EFE"/>
    <w:rsid w:val="008E310D"/>
    <w:rsid w:val="008F6A75"/>
    <w:rsid w:val="008F7233"/>
    <w:rsid w:val="0091125A"/>
    <w:rsid w:val="0092113D"/>
    <w:rsid w:val="0093281E"/>
    <w:rsid w:val="009351A3"/>
    <w:rsid w:val="0094177D"/>
    <w:rsid w:val="00947BD3"/>
    <w:rsid w:val="00963B1B"/>
    <w:rsid w:val="00963E6B"/>
    <w:rsid w:val="00975ED2"/>
    <w:rsid w:val="0098135F"/>
    <w:rsid w:val="00981E23"/>
    <w:rsid w:val="00982CAA"/>
    <w:rsid w:val="0098428B"/>
    <w:rsid w:val="00996486"/>
    <w:rsid w:val="009C70AB"/>
    <w:rsid w:val="009D0D7B"/>
    <w:rsid w:val="009D7544"/>
    <w:rsid w:val="009F29C6"/>
    <w:rsid w:val="009F323E"/>
    <w:rsid w:val="009F3DE1"/>
    <w:rsid w:val="009F5F0D"/>
    <w:rsid w:val="009F775E"/>
    <w:rsid w:val="009F77FF"/>
    <w:rsid w:val="00A01A2B"/>
    <w:rsid w:val="00A11276"/>
    <w:rsid w:val="00A20F72"/>
    <w:rsid w:val="00A276C4"/>
    <w:rsid w:val="00A355F8"/>
    <w:rsid w:val="00A35729"/>
    <w:rsid w:val="00A41E12"/>
    <w:rsid w:val="00A440D0"/>
    <w:rsid w:val="00A52E47"/>
    <w:rsid w:val="00A53014"/>
    <w:rsid w:val="00A54C7B"/>
    <w:rsid w:val="00A65B41"/>
    <w:rsid w:val="00A75095"/>
    <w:rsid w:val="00A86E64"/>
    <w:rsid w:val="00A922E5"/>
    <w:rsid w:val="00AA4583"/>
    <w:rsid w:val="00AA76FA"/>
    <w:rsid w:val="00AB6295"/>
    <w:rsid w:val="00AE42A9"/>
    <w:rsid w:val="00AF32D9"/>
    <w:rsid w:val="00AF7540"/>
    <w:rsid w:val="00B07299"/>
    <w:rsid w:val="00B075D6"/>
    <w:rsid w:val="00B13701"/>
    <w:rsid w:val="00B147C6"/>
    <w:rsid w:val="00B14848"/>
    <w:rsid w:val="00B1522D"/>
    <w:rsid w:val="00B32F61"/>
    <w:rsid w:val="00B47C03"/>
    <w:rsid w:val="00B62DFF"/>
    <w:rsid w:val="00B6442A"/>
    <w:rsid w:val="00B73675"/>
    <w:rsid w:val="00B809EB"/>
    <w:rsid w:val="00B815C1"/>
    <w:rsid w:val="00B95107"/>
    <w:rsid w:val="00BB52DB"/>
    <w:rsid w:val="00BB58F0"/>
    <w:rsid w:val="00BC4B53"/>
    <w:rsid w:val="00BD4DE3"/>
    <w:rsid w:val="00BD5BE5"/>
    <w:rsid w:val="00BD77AC"/>
    <w:rsid w:val="00BE4345"/>
    <w:rsid w:val="00BF746C"/>
    <w:rsid w:val="00C121E5"/>
    <w:rsid w:val="00C22918"/>
    <w:rsid w:val="00C2342C"/>
    <w:rsid w:val="00C317FB"/>
    <w:rsid w:val="00C44BCC"/>
    <w:rsid w:val="00C4672A"/>
    <w:rsid w:val="00C4777A"/>
    <w:rsid w:val="00C50998"/>
    <w:rsid w:val="00C6056C"/>
    <w:rsid w:val="00C60E97"/>
    <w:rsid w:val="00C84979"/>
    <w:rsid w:val="00CC3F00"/>
    <w:rsid w:val="00CD5A3E"/>
    <w:rsid w:val="00CE2676"/>
    <w:rsid w:val="00CF52A2"/>
    <w:rsid w:val="00D11DAD"/>
    <w:rsid w:val="00D179C8"/>
    <w:rsid w:val="00D17FD9"/>
    <w:rsid w:val="00D223F2"/>
    <w:rsid w:val="00D42DBC"/>
    <w:rsid w:val="00D53389"/>
    <w:rsid w:val="00D53A10"/>
    <w:rsid w:val="00D57715"/>
    <w:rsid w:val="00D6287A"/>
    <w:rsid w:val="00D74075"/>
    <w:rsid w:val="00D86733"/>
    <w:rsid w:val="00D96CF8"/>
    <w:rsid w:val="00DA3A22"/>
    <w:rsid w:val="00DA3FDF"/>
    <w:rsid w:val="00DB3082"/>
    <w:rsid w:val="00DC05AD"/>
    <w:rsid w:val="00DC4D4E"/>
    <w:rsid w:val="00DC77F7"/>
    <w:rsid w:val="00DD28DE"/>
    <w:rsid w:val="00DD3AF1"/>
    <w:rsid w:val="00DE6A0E"/>
    <w:rsid w:val="00DF4C01"/>
    <w:rsid w:val="00E014C2"/>
    <w:rsid w:val="00E01555"/>
    <w:rsid w:val="00E164A4"/>
    <w:rsid w:val="00E245D2"/>
    <w:rsid w:val="00E36616"/>
    <w:rsid w:val="00E51A30"/>
    <w:rsid w:val="00E623DD"/>
    <w:rsid w:val="00E63692"/>
    <w:rsid w:val="00E66CAE"/>
    <w:rsid w:val="00E84C07"/>
    <w:rsid w:val="00E90C8F"/>
    <w:rsid w:val="00EA2448"/>
    <w:rsid w:val="00EB2321"/>
    <w:rsid w:val="00EB438F"/>
    <w:rsid w:val="00EC3B60"/>
    <w:rsid w:val="00EC6276"/>
    <w:rsid w:val="00ED4017"/>
    <w:rsid w:val="00ED6FFF"/>
    <w:rsid w:val="00EE0FCE"/>
    <w:rsid w:val="00EE35AA"/>
    <w:rsid w:val="00EE49D5"/>
    <w:rsid w:val="00EF440C"/>
    <w:rsid w:val="00F031D4"/>
    <w:rsid w:val="00F35897"/>
    <w:rsid w:val="00F420CD"/>
    <w:rsid w:val="00F44563"/>
    <w:rsid w:val="00F56F51"/>
    <w:rsid w:val="00F60285"/>
    <w:rsid w:val="00F617AF"/>
    <w:rsid w:val="00F62F04"/>
    <w:rsid w:val="00F73285"/>
    <w:rsid w:val="00F80854"/>
    <w:rsid w:val="00F82D58"/>
    <w:rsid w:val="00F973AD"/>
    <w:rsid w:val="00FA4AA3"/>
    <w:rsid w:val="00FB4895"/>
    <w:rsid w:val="00FC26DB"/>
    <w:rsid w:val="00FD20CA"/>
    <w:rsid w:val="00FE168F"/>
    <w:rsid w:val="00FF3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848"/>
  </w:style>
  <w:style w:type="paragraph" w:styleId="Heading1">
    <w:name w:val="heading 1"/>
    <w:basedOn w:val="Normal"/>
    <w:next w:val="Normal"/>
    <w:qFormat/>
    <w:rsid w:val="00B14848"/>
    <w:pPr>
      <w:keepNext/>
      <w:numPr>
        <w:numId w:val="2"/>
      </w:numPr>
      <w:tabs>
        <w:tab w:val="clear" w:pos="720"/>
      </w:tabs>
      <w:ind w:left="360" w:hanging="360"/>
      <w:outlineLvl w:val="0"/>
    </w:pPr>
    <w:rPr>
      <w:b/>
      <w:bCs/>
      <w:caps/>
      <w:sz w:val="22"/>
    </w:rPr>
  </w:style>
  <w:style w:type="paragraph" w:styleId="Heading2">
    <w:name w:val="heading 2"/>
    <w:basedOn w:val="Normal"/>
    <w:next w:val="Normal"/>
    <w:qFormat/>
    <w:rsid w:val="00B14848"/>
    <w:pPr>
      <w:keepNext/>
      <w:spacing w:before="100" w:after="100"/>
      <w:ind w:left="180" w:hanging="180"/>
      <w:outlineLvl w:val="1"/>
    </w:pPr>
    <w:rPr>
      <w:b/>
      <w:sz w:val="24"/>
    </w:rPr>
  </w:style>
  <w:style w:type="paragraph" w:styleId="Heading3">
    <w:name w:val="heading 3"/>
    <w:basedOn w:val="Normal"/>
    <w:qFormat/>
    <w:rsid w:val="00B14848"/>
    <w:pPr>
      <w:spacing w:before="100" w:beforeAutospacing="1" w:after="100" w:afterAutospacing="1"/>
      <w:outlineLvl w:val="2"/>
    </w:pPr>
    <w:rPr>
      <w:b/>
      <w:bCs/>
      <w:sz w:val="27"/>
      <w:szCs w:val="27"/>
    </w:rPr>
  </w:style>
  <w:style w:type="paragraph" w:styleId="Heading4">
    <w:name w:val="heading 4"/>
    <w:basedOn w:val="Normal"/>
    <w:next w:val="Normal"/>
    <w:qFormat/>
    <w:rsid w:val="00B14848"/>
    <w:pPr>
      <w:keepNext/>
      <w:outlineLvl w:val="3"/>
    </w:pPr>
    <w:rPr>
      <w:b/>
      <w:sz w:val="24"/>
    </w:rPr>
  </w:style>
  <w:style w:type="paragraph" w:styleId="Heading5">
    <w:name w:val="heading 5"/>
    <w:basedOn w:val="Normal"/>
    <w:next w:val="Normal"/>
    <w:qFormat/>
    <w:rsid w:val="00B14848"/>
    <w:pPr>
      <w:keepNext/>
      <w:tabs>
        <w:tab w:val="left" w:pos="360"/>
      </w:tabs>
      <w:outlineLvl w:val="4"/>
    </w:pPr>
    <w:rPr>
      <w:b/>
      <w:sz w:val="22"/>
    </w:rPr>
  </w:style>
  <w:style w:type="paragraph" w:styleId="Heading6">
    <w:name w:val="heading 6"/>
    <w:basedOn w:val="Normal"/>
    <w:next w:val="Normal"/>
    <w:qFormat/>
    <w:rsid w:val="00B14848"/>
    <w:pPr>
      <w:keepNext/>
      <w:outlineLvl w:val="5"/>
    </w:pPr>
    <w:rPr>
      <w:b/>
      <w:i/>
      <w:sz w:val="22"/>
      <w:u w:val="single"/>
    </w:rPr>
  </w:style>
  <w:style w:type="paragraph" w:styleId="Heading7">
    <w:name w:val="heading 7"/>
    <w:basedOn w:val="Normal"/>
    <w:next w:val="Normal"/>
    <w:qFormat/>
    <w:rsid w:val="00B14848"/>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4848"/>
    <w:pPr>
      <w:jc w:val="center"/>
    </w:pPr>
    <w:rPr>
      <w:b/>
      <w:bCs/>
      <w:sz w:val="22"/>
    </w:rPr>
  </w:style>
  <w:style w:type="paragraph" w:styleId="BodyText">
    <w:name w:val="Body Text"/>
    <w:basedOn w:val="Normal"/>
    <w:link w:val="BodyTextChar"/>
    <w:rsid w:val="00B14848"/>
    <w:pPr>
      <w:tabs>
        <w:tab w:val="left" w:pos="360"/>
      </w:tabs>
    </w:pPr>
    <w:rPr>
      <w:sz w:val="22"/>
      <w:lang/>
    </w:rPr>
  </w:style>
  <w:style w:type="paragraph" w:styleId="BodyTextIndent">
    <w:name w:val="Body Text Indent"/>
    <w:basedOn w:val="Normal"/>
    <w:rsid w:val="00B14848"/>
    <w:pPr>
      <w:tabs>
        <w:tab w:val="left" w:pos="360"/>
      </w:tabs>
      <w:ind w:left="360" w:hanging="360"/>
    </w:pPr>
    <w:rPr>
      <w:sz w:val="22"/>
    </w:rPr>
  </w:style>
  <w:style w:type="paragraph" w:styleId="BodyTextIndent2">
    <w:name w:val="Body Text Indent 2"/>
    <w:basedOn w:val="Normal"/>
    <w:rsid w:val="00B14848"/>
    <w:pPr>
      <w:ind w:left="360"/>
    </w:pPr>
    <w:rPr>
      <w:sz w:val="22"/>
    </w:rPr>
  </w:style>
  <w:style w:type="paragraph" w:styleId="NormalWeb">
    <w:name w:val="Normal (Web)"/>
    <w:basedOn w:val="Normal"/>
    <w:rsid w:val="00B14848"/>
    <w:pPr>
      <w:spacing w:before="100" w:beforeAutospacing="1" w:after="100" w:afterAutospacing="1"/>
    </w:pPr>
    <w:rPr>
      <w:sz w:val="24"/>
      <w:szCs w:val="24"/>
    </w:rPr>
  </w:style>
  <w:style w:type="paragraph" w:styleId="BodyTextIndent3">
    <w:name w:val="Body Text Indent 3"/>
    <w:basedOn w:val="Normal"/>
    <w:link w:val="BodyTextIndent3Char"/>
    <w:rsid w:val="00B14848"/>
    <w:pPr>
      <w:spacing w:before="100" w:after="100"/>
      <w:ind w:left="630" w:hanging="270"/>
    </w:pPr>
  </w:style>
  <w:style w:type="paragraph" w:styleId="BodyText2">
    <w:name w:val="Body Text 2"/>
    <w:basedOn w:val="Normal"/>
    <w:rsid w:val="00B14848"/>
    <w:pPr>
      <w:jc w:val="center"/>
    </w:pPr>
    <w:rPr>
      <w:b/>
      <w:sz w:val="24"/>
    </w:rPr>
  </w:style>
  <w:style w:type="paragraph" w:styleId="FootnoteText">
    <w:name w:val="footnote text"/>
    <w:basedOn w:val="Normal"/>
    <w:semiHidden/>
    <w:rsid w:val="00B14848"/>
  </w:style>
  <w:style w:type="paragraph" w:styleId="BodyText3">
    <w:name w:val="Body Text 3"/>
    <w:basedOn w:val="Normal"/>
    <w:rsid w:val="00B14848"/>
    <w:rPr>
      <w:i/>
      <w:sz w:val="24"/>
    </w:rPr>
  </w:style>
  <w:style w:type="paragraph" w:styleId="Footer">
    <w:name w:val="footer"/>
    <w:basedOn w:val="Normal"/>
    <w:rsid w:val="00B14848"/>
    <w:pPr>
      <w:tabs>
        <w:tab w:val="center" w:pos="4320"/>
        <w:tab w:val="right" w:pos="8640"/>
      </w:tabs>
    </w:pPr>
  </w:style>
  <w:style w:type="character" w:styleId="PageNumber">
    <w:name w:val="page number"/>
    <w:basedOn w:val="DefaultParagraphFont"/>
    <w:rsid w:val="00B14848"/>
  </w:style>
  <w:style w:type="paragraph" w:styleId="Header">
    <w:name w:val="header"/>
    <w:basedOn w:val="Normal"/>
    <w:rsid w:val="00B14848"/>
    <w:pPr>
      <w:tabs>
        <w:tab w:val="center" w:pos="4320"/>
        <w:tab w:val="right" w:pos="8640"/>
      </w:tabs>
    </w:pPr>
  </w:style>
  <w:style w:type="paragraph" w:styleId="BalloonText">
    <w:name w:val="Balloon Text"/>
    <w:basedOn w:val="Normal"/>
    <w:semiHidden/>
    <w:rsid w:val="00B14848"/>
    <w:rPr>
      <w:rFonts w:ascii="Tahoma" w:hAnsi="Tahoma" w:cs="Tahoma"/>
      <w:sz w:val="16"/>
      <w:szCs w:val="16"/>
    </w:rPr>
  </w:style>
  <w:style w:type="paragraph" w:styleId="HTMLPreformatted">
    <w:name w:val="HTML Preformatted"/>
    <w:basedOn w:val="Normal"/>
    <w:rsid w:val="00D9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styleId="PlainText">
    <w:name w:val="Plain Text"/>
    <w:basedOn w:val="Normal"/>
    <w:link w:val="PlainTextChar"/>
    <w:uiPriority w:val="99"/>
    <w:unhideWhenUsed/>
    <w:rsid w:val="008F7233"/>
    <w:rPr>
      <w:rFonts w:ascii="Consolas" w:eastAsia="Calibri" w:hAnsi="Consolas"/>
      <w:sz w:val="21"/>
      <w:szCs w:val="21"/>
      <w:lang/>
    </w:rPr>
  </w:style>
  <w:style w:type="character" w:customStyle="1" w:styleId="PlainTextChar">
    <w:name w:val="Plain Text Char"/>
    <w:link w:val="PlainText"/>
    <w:uiPriority w:val="99"/>
    <w:rsid w:val="008F7233"/>
    <w:rPr>
      <w:rFonts w:ascii="Consolas" w:eastAsia="Calibri" w:hAnsi="Consolas"/>
      <w:sz w:val="21"/>
      <w:szCs w:val="21"/>
    </w:rPr>
  </w:style>
  <w:style w:type="character" w:customStyle="1" w:styleId="BodyTextChar">
    <w:name w:val="Body Text Char"/>
    <w:link w:val="BodyText"/>
    <w:rsid w:val="000300A4"/>
    <w:rPr>
      <w:sz w:val="22"/>
    </w:rPr>
  </w:style>
  <w:style w:type="character" w:customStyle="1" w:styleId="BodyTextIndent3Char">
    <w:name w:val="Body Text Indent 3 Char"/>
    <w:basedOn w:val="DefaultParagraphFont"/>
    <w:link w:val="BodyTextIndent3"/>
    <w:rsid w:val="00BF746C"/>
  </w:style>
  <w:style w:type="character" w:styleId="Hyperlink">
    <w:name w:val="Hyperlink"/>
    <w:uiPriority w:val="99"/>
    <w:unhideWhenUsed/>
    <w:rsid w:val="009F323E"/>
    <w:rPr>
      <w:strike w:val="0"/>
      <w:dstrike w:val="0"/>
      <w:color w:val="00008B"/>
      <w:u w:val="none"/>
      <w:effect w:val="none"/>
    </w:rPr>
  </w:style>
  <w:style w:type="character" w:customStyle="1" w:styleId="object2">
    <w:name w:val="object2"/>
    <w:rsid w:val="009F323E"/>
    <w:rPr>
      <w:strike w:val="0"/>
      <w:dstrike w:val="0"/>
      <w:color w:val="00008B"/>
      <w:u w:val="none"/>
      <w:effect w:val="none"/>
    </w:rPr>
  </w:style>
  <w:style w:type="character" w:styleId="FollowedHyperlink">
    <w:name w:val="FollowedHyperlink"/>
    <w:rsid w:val="009F323E"/>
    <w:rPr>
      <w:color w:val="800080"/>
      <w:u w:val="single"/>
    </w:rPr>
  </w:style>
  <w:style w:type="character" w:styleId="CommentReference">
    <w:name w:val="annotation reference"/>
    <w:rsid w:val="006C004A"/>
    <w:rPr>
      <w:sz w:val="16"/>
      <w:szCs w:val="16"/>
    </w:rPr>
  </w:style>
  <w:style w:type="paragraph" w:styleId="CommentText">
    <w:name w:val="annotation text"/>
    <w:basedOn w:val="Normal"/>
    <w:link w:val="CommentTextChar"/>
    <w:rsid w:val="006C004A"/>
  </w:style>
  <w:style w:type="character" w:customStyle="1" w:styleId="CommentTextChar">
    <w:name w:val="Comment Text Char"/>
    <w:basedOn w:val="DefaultParagraphFont"/>
    <w:link w:val="CommentText"/>
    <w:rsid w:val="006C004A"/>
  </w:style>
  <w:style w:type="paragraph" w:styleId="CommentSubject">
    <w:name w:val="annotation subject"/>
    <w:basedOn w:val="CommentText"/>
    <w:next w:val="CommentText"/>
    <w:link w:val="CommentSubjectChar"/>
    <w:rsid w:val="006C004A"/>
    <w:rPr>
      <w:b/>
      <w:bCs/>
      <w:lang/>
    </w:rPr>
  </w:style>
  <w:style w:type="character" w:customStyle="1" w:styleId="CommentSubjectChar">
    <w:name w:val="Comment Subject Char"/>
    <w:link w:val="CommentSubject"/>
    <w:rsid w:val="006C004A"/>
    <w:rPr>
      <w:b/>
      <w:bCs/>
    </w:rPr>
  </w:style>
  <w:style w:type="paragraph" w:styleId="Revision">
    <w:name w:val="Revision"/>
    <w:hidden/>
    <w:uiPriority w:val="99"/>
    <w:semiHidden/>
    <w:rsid w:val="00733734"/>
  </w:style>
  <w:style w:type="character" w:customStyle="1" w:styleId="apple-style-span">
    <w:name w:val="apple-style-span"/>
    <w:basedOn w:val="DefaultParagraphFont"/>
    <w:rsid w:val="002A59A0"/>
  </w:style>
  <w:style w:type="paragraph" w:styleId="ListParagraph">
    <w:name w:val="List Paragraph"/>
    <w:basedOn w:val="Normal"/>
    <w:uiPriority w:val="34"/>
    <w:qFormat/>
    <w:rsid w:val="00391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848"/>
  </w:style>
  <w:style w:type="paragraph" w:styleId="Heading1">
    <w:name w:val="heading 1"/>
    <w:basedOn w:val="Normal"/>
    <w:next w:val="Normal"/>
    <w:qFormat/>
    <w:rsid w:val="00B14848"/>
    <w:pPr>
      <w:keepNext/>
      <w:numPr>
        <w:numId w:val="2"/>
      </w:numPr>
      <w:tabs>
        <w:tab w:val="clear" w:pos="720"/>
      </w:tabs>
      <w:ind w:left="360" w:hanging="360"/>
      <w:outlineLvl w:val="0"/>
    </w:pPr>
    <w:rPr>
      <w:b/>
      <w:bCs/>
      <w:caps/>
      <w:sz w:val="22"/>
    </w:rPr>
  </w:style>
  <w:style w:type="paragraph" w:styleId="Heading2">
    <w:name w:val="heading 2"/>
    <w:basedOn w:val="Normal"/>
    <w:next w:val="Normal"/>
    <w:qFormat/>
    <w:rsid w:val="00B14848"/>
    <w:pPr>
      <w:keepNext/>
      <w:spacing w:before="100" w:after="100"/>
      <w:ind w:left="180" w:hanging="180"/>
      <w:outlineLvl w:val="1"/>
    </w:pPr>
    <w:rPr>
      <w:b/>
      <w:sz w:val="24"/>
    </w:rPr>
  </w:style>
  <w:style w:type="paragraph" w:styleId="Heading3">
    <w:name w:val="heading 3"/>
    <w:basedOn w:val="Normal"/>
    <w:qFormat/>
    <w:rsid w:val="00B14848"/>
    <w:pPr>
      <w:spacing w:before="100" w:beforeAutospacing="1" w:after="100" w:afterAutospacing="1"/>
      <w:outlineLvl w:val="2"/>
    </w:pPr>
    <w:rPr>
      <w:b/>
      <w:bCs/>
      <w:sz w:val="27"/>
      <w:szCs w:val="27"/>
    </w:rPr>
  </w:style>
  <w:style w:type="paragraph" w:styleId="Heading4">
    <w:name w:val="heading 4"/>
    <w:basedOn w:val="Normal"/>
    <w:next w:val="Normal"/>
    <w:qFormat/>
    <w:rsid w:val="00B14848"/>
    <w:pPr>
      <w:keepNext/>
      <w:outlineLvl w:val="3"/>
    </w:pPr>
    <w:rPr>
      <w:b/>
      <w:sz w:val="24"/>
    </w:rPr>
  </w:style>
  <w:style w:type="paragraph" w:styleId="Heading5">
    <w:name w:val="heading 5"/>
    <w:basedOn w:val="Normal"/>
    <w:next w:val="Normal"/>
    <w:qFormat/>
    <w:rsid w:val="00B14848"/>
    <w:pPr>
      <w:keepNext/>
      <w:tabs>
        <w:tab w:val="left" w:pos="360"/>
      </w:tabs>
      <w:outlineLvl w:val="4"/>
    </w:pPr>
    <w:rPr>
      <w:b/>
      <w:sz w:val="22"/>
    </w:rPr>
  </w:style>
  <w:style w:type="paragraph" w:styleId="Heading6">
    <w:name w:val="heading 6"/>
    <w:basedOn w:val="Normal"/>
    <w:next w:val="Normal"/>
    <w:qFormat/>
    <w:rsid w:val="00B14848"/>
    <w:pPr>
      <w:keepNext/>
      <w:outlineLvl w:val="5"/>
    </w:pPr>
    <w:rPr>
      <w:b/>
      <w:i/>
      <w:sz w:val="22"/>
      <w:u w:val="single"/>
    </w:rPr>
  </w:style>
  <w:style w:type="paragraph" w:styleId="Heading7">
    <w:name w:val="heading 7"/>
    <w:basedOn w:val="Normal"/>
    <w:next w:val="Normal"/>
    <w:qFormat/>
    <w:rsid w:val="00B14848"/>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4848"/>
    <w:pPr>
      <w:jc w:val="center"/>
    </w:pPr>
    <w:rPr>
      <w:b/>
      <w:bCs/>
      <w:sz w:val="22"/>
    </w:rPr>
  </w:style>
  <w:style w:type="paragraph" w:styleId="BodyText">
    <w:name w:val="Body Text"/>
    <w:basedOn w:val="Normal"/>
    <w:link w:val="BodyTextChar"/>
    <w:rsid w:val="00B14848"/>
    <w:pPr>
      <w:tabs>
        <w:tab w:val="left" w:pos="360"/>
      </w:tabs>
    </w:pPr>
    <w:rPr>
      <w:sz w:val="22"/>
      <w:lang w:val="x-none" w:eastAsia="x-none"/>
    </w:rPr>
  </w:style>
  <w:style w:type="paragraph" w:styleId="BodyTextIndent">
    <w:name w:val="Body Text Indent"/>
    <w:basedOn w:val="Normal"/>
    <w:rsid w:val="00B14848"/>
    <w:pPr>
      <w:tabs>
        <w:tab w:val="left" w:pos="360"/>
      </w:tabs>
      <w:ind w:left="360" w:hanging="360"/>
    </w:pPr>
    <w:rPr>
      <w:sz w:val="22"/>
    </w:rPr>
  </w:style>
  <w:style w:type="paragraph" w:styleId="BodyTextIndent2">
    <w:name w:val="Body Text Indent 2"/>
    <w:basedOn w:val="Normal"/>
    <w:rsid w:val="00B14848"/>
    <w:pPr>
      <w:ind w:left="360"/>
    </w:pPr>
    <w:rPr>
      <w:sz w:val="22"/>
    </w:rPr>
  </w:style>
  <w:style w:type="paragraph" w:styleId="NormalWeb">
    <w:name w:val="Normal (Web)"/>
    <w:basedOn w:val="Normal"/>
    <w:rsid w:val="00B14848"/>
    <w:pPr>
      <w:spacing w:before="100" w:beforeAutospacing="1" w:after="100" w:afterAutospacing="1"/>
    </w:pPr>
    <w:rPr>
      <w:sz w:val="24"/>
      <w:szCs w:val="24"/>
    </w:rPr>
  </w:style>
  <w:style w:type="paragraph" w:styleId="BodyTextIndent3">
    <w:name w:val="Body Text Indent 3"/>
    <w:basedOn w:val="Normal"/>
    <w:link w:val="BodyTextIndent3Char"/>
    <w:rsid w:val="00B14848"/>
    <w:pPr>
      <w:spacing w:before="100" w:after="100"/>
      <w:ind w:left="630" w:hanging="270"/>
    </w:pPr>
  </w:style>
  <w:style w:type="paragraph" w:styleId="BodyText2">
    <w:name w:val="Body Text 2"/>
    <w:basedOn w:val="Normal"/>
    <w:rsid w:val="00B14848"/>
    <w:pPr>
      <w:jc w:val="center"/>
    </w:pPr>
    <w:rPr>
      <w:b/>
      <w:sz w:val="24"/>
    </w:rPr>
  </w:style>
  <w:style w:type="paragraph" w:styleId="FootnoteText">
    <w:name w:val="footnote text"/>
    <w:basedOn w:val="Normal"/>
    <w:semiHidden/>
    <w:rsid w:val="00B14848"/>
  </w:style>
  <w:style w:type="paragraph" w:styleId="BodyText3">
    <w:name w:val="Body Text 3"/>
    <w:basedOn w:val="Normal"/>
    <w:rsid w:val="00B14848"/>
    <w:rPr>
      <w:i/>
      <w:sz w:val="24"/>
    </w:rPr>
  </w:style>
  <w:style w:type="paragraph" w:styleId="Footer">
    <w:name w:val="footer"/>
    <w:basedOn w:val="Normal"/>
    <w:rsid w:val="00B14848"/>
    <w:pPr>
      <w:tabs>
        <w:tab w:val="center" w:pos="4320"/>
        <w:tab w:val="right" w:pos="8640"/>
      </w:tabs>
    </w:pPr>
  </w:style>
  <w:style w:type="character" w:styleId="PageNumber">
    <w:name w:val="page number"/>
    <w:basedOn w:val="DefaultParagraphFont"/>
    <w:rsid w:val="00B14848"/>
  </w:style>
  <w:style w:type="paragraph" w:styleId="Header">
    <w:name w:val="header"/>
    <w:basedOn w:val="Normal"/>
    <w:rsid w:val="00B14848"/>
    <w:pPr>
      <w:tabs>
        <w:tab w:val="center" w:pos="4320"/>
        <w:tab w:val="right" w:pos="8640"/>
      </w:tabs>
    </w:pPr>
  </w:style>
  <w:style w:type="paragraph" w:styleId="BalloonText">
    <w:name w:val="Balloon Text"/>
    <w:basedOn w:val="Normal"/>
    <w:semiHidden/>
    <w:rsid w:val="00B14848"/>
    <w:rPr>
      <w:rFonts w:ascii="Tahoma" w:hAnsi="Tahoma" w:cs="Tahoma"/>
      <w:sz w:val="16"/>
      <w:szCs w:val="16"/>
    </w:rPr>
  </w:style>
  <w:style w:type="paragraph" w:styleId="HTMLPreformatted">
    <w:name w:val="HTML Preformatted"/>
    <w:basedOn w:val="Normal"/>
    <w:rsid w:val="00D9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styleId="PlainText">
    <w:name w:val="Plain Text"/>
    <w:basedOn w:val="Normal"/>
    <w:link w:val="PlainTextChar"/>
    <w:uiPriority w:val="99"/>
    <w:unhideWhenUsed/>
    <w:rsid w:val="008F7233"/>
    <w:rPr>
      <w:rFonts w:ascii="Consolas" w:eastAsia="Calibri" w:hAnsi="Consolas"/>
      <w:sz w:val="21"/>
      <w:szCs w:val="21"/>
      <w:lang w:val="x-none" w:eastAsia="x-none"/>
    </w:rPr>
  </w:style>
  <w:style w:type="character" w:customStyle="1" w:styleId="PlainTextChar">
    <w:name w:val="Plain Text Char"/>
    <w:link w:val="PlainText"/>
    <w:uiPriority w:val="99"/>
    <w:rsid w:val="008F7233"/>
    <w:rPr>
      <w:rFonts w:ascii="Consolas" w:eastAsia="Calibri" w:hAnsi="Consolas"/>
      <w:sz w:val="21"/>
      <w:szCs w:val="21"/>
    </w:rPr>
  </w:style>
  <w:style w:type="character" w:customStyle="1" w:styleId="BodyTextChar">
    <w:name w:val="Body Text Char"/>
    <w:link w:val="BodyText"/>
    <w:rsid w:val="000300A4"/>
    <w:rPr>
      <w:sz w:val="22"/>
    </w:rPr>
  </w:style>
  <w:style w:type="character" w:customStyle="1" w:styleId="BodyTextIndent3Char">
    <w:name w:val="Body Text Indent 3 Char"/>
    <w:basedOn w:val="DefaultParagraphFont"/>
    <w:link w:val="BodyTextIndent3"/>
    <w:rsid w:val="00BF746C"/>
  </w:style>
  <w:style w:type="character" w:styleId="Hyperlink">
    <w:name w:val="Hyperlink"/>
    <w:uiPriority w:val="99"/>
    <w:unhideWhenUsed/>
    <w:rsid w:val="009F323E"/>
    <w:rPr>
      <w:strike w:val="0"/>
      <w:dstrike w:val="0"/>
      <w:color w:val="00008B"/>
      <w:u w:val="none"/>
      <w:effect w:val="none"/>
    </w:rPr>
  </w:style>
  <w:style w:type="character" w:customStyle="1" w:styleId="object2">
    <w:name w:val="object2"/>
    <w:rsid w:val="009F323E"/>
    <w:rPr>
      <w:strike w:val="0"/>
      <w:dstrike w:val="0"/>
      <w:color w:val="00008B"/>
      <w:u w:val="none"/>
      <w:effect w:val="none"/>
    </w:rPr>
  </w:style>
  <w:style w:type="character" w:styleId="FollowedHyperlink">
    <w:name w:val="FollowedHyperlink"/>
    <w:rsid w:val="009F323E"/>
    <w:rPr>
      <w:color w:val="800080"/>
      <w:u w:val="single"/>
    </w:rPr>
  </w:style>
  <w:style w:type="character" w:styleId="CommentReference">
    <w:name w:val="annotation reference"/>
    <w:rsid w:val="006C004A"/>
    <w:rPr>
      <w:sz w:val="16"/>
      <w:szCs w:val="16"/>
    </w:rPr>
  </w:style>
  <w:style w:type="paragraph" w:styleId="CommentText">
    <w:name w:val="annotation text"/>
    <w:basedOn w:val="Normal"/>
    <w:link w:val="CommentTextChar"/>
    <w:rsid w:val="006C004A"/>
  </w:style>
  <w:style w:type="character" w:customStyle="1" w:styleId="CommentTextChar">
    <w:name w:val="Comment Text Char"/>
    <w:basedOn w:val="DefaultParagraphFont"/>
    <w:link w:val="CommentText"/>
    <w:rsid w:val="006C004A"/>
  </w:style>
  <w:style w:type="paragraph" w:styleId="CommentSubject">
    <w:name w:val="annotation subject"/>
    <w:basedOn w:val="CommentText"/>
    <w:next w:val="CommentText"/>
    <w:link w:val="CommentSubjectChar"/>
    <w:rsid w:val="006C004A"/>
    <w:rPr>
      <w:b/>
      <w:bCs/>
      <w:lang w:val="x-none" w:eastAsia="x-none"/>
    </w:rPr>
  </w:style>
  <w:style w:type="character" w:customStyle="1" w:styleId="CommentSubjectChar">
    <w:name w:val="Comment Subject Char"/>
    <w:link w:val="CommentSubject"/>
    <w:rsid w:val="006C004A"/>
    <w:rPr>
      <w:b/>
      <w:bCs/>
    </w:rPr>
  </w:style>
  <w:style w:type="paragraph" w:styleId="Revision">
    <w:name w:val="Revision"/>
    <w:hidden/>
    <w:uiPriority w:val="99"/>
    <w:semiHidden/>
    <w:rsid w:val="00733734"/>
  </w:style>
  <w:style w:type="character" w:customStyle="1" w:styleId="apple-style-span">
    <w:name w:val="apple-style-span"/>
    <w:basedOn w:val="DefaultParagraphFont"/>
    <w:rsid w:val="002A59A0"/>
  </w:style>
  <w:style w:type="paragraph" w:styleId="ListParagraph">
    <w:name w:val="List Paragraph"/>
    <w:basedOn w:val="Normal"/>
    <w:uiPriority w:val="34"/>
    <w:qFormat/>
    <w:rsid w:val="003916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5BED-CE41-4A4D-8B4A-72DB23CD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7270</Words>
  <Characters>43357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INTRODUCTION</vt:lpstr>
    </vt:vector>
  </TitlesOfParts>
  <Company>College of Business</Company>
  <LinksUpToDate>false</LinksUpToDate>
  <CharactersWithSpaces>50526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College of Business</dc:creator>
  <cp:lastModifiedBy>mwaso</cp:lastModifiedBy>
  <cp:revision>10</cp:revision>
  <cp:lastPrinted>2011-11-01T21:25:00Z</cp:lastPrinted>
  <dcterms:created xsi:type="dcterms:W3CDTF">2011-11-08T15:23:00Z</dcterms:created>
  <dcterms:modified xsi:type="dcterms:W3CDTF">2011-11-21T20:03:00Z</dcterms:modified>
</cp:coreProperties>
</file>